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6F09" w14:textId="3FD06B38" w:rsidR="001E1A07" w:rsidRDefault="00F55276" w:rsidP="00F55276">
      <w:pPr>
        <w:jc w:val="center"/>
        <w:rPr>
          <w:rStyle w:val="Hyperlink"/>
          <w:rFonts w:ascii="Times New Roman" w:hAnsi="Times New Roman" w:cs="Times New Roman"/>
          <w:i/>
        </w:rPr>
      </w:pPr>
      <w:r>
        <w:rPr>
          <w:rFonts w:ascii="Times New Roman" w:hAnsi="Times New Roman" w:cs="Times New Roman"/>
          <w:i/>
        </w:rPr>
        <w:t xml:space="preserve">Published in </w:t>
      </w:r>
      <w:hyperlink r:id="rId7" w:history="1">
        <w:proofErr w:type="spellStart"/>
        <w:r w:rsidRPr="00F55276">
          <w:rPr>
            <w:rStyle w:val="Hyperlink"/>
            <w:rFonts w:ascii="Times New Roman" w:hAnsi="Times New Roman" w:cs="Times New Roman"/>
          </w:rPr>
          <w:t>Variaciones</w:t>
        </w:r>
        <w:proofErr w:type="spellEnd"/>
        <w:r w:rsidRPr="00F55276">
          <w:rPr>
            <w:rStyle w:val="Hyperlink"/>
            <w:rFonts w:ascii="Times New Roman" w:hAnsi="Times New Roman" w:cs="Times New Roman"/>
          </w:rPr>
          <w:t xml:space="preserve"> Borges 46, </w:t>
        </w:r>
        <w:r w:rsidRPr="00F55276">
          <w:rPr>
            <w:rStyle w:val="Hyperlink"/>
            <w:rFonts w:ascii="Times New Roman" w:hAnsi="Times New Roman" w:cs="Times New Roman"/>
            <w:i/>
          </w:rPr>
          <w:t>November 2018</w:t>
        </w:r>
      </w:hyperlink>
    </w:p>
    <w:p w14:paraId="2298CC03" w14:textId="4DFC2328" w:rsidR="00BB38C3" w:rsidRPr="00BB38C3" w:rsidRDefault="00BB38C3" w:rsidP="00BB38C3">
      <w:pPr>
        <w:rPr>
          <w:rFonts w:ascii="Times New Roman" w:eastAsia="Times New Roman" w:hAnsi="Times New Roman" w:cs="Times New Roman"/>
        </w:rPr>
      </w:pPr>
      <w:r>
        <w:rPr>
          <w:rFonts w:ascii="Times New Roman" w:hAnsi="Times New Roman" w:cs="Times New Roman"/>
          <w:i/>
        </w:rPr>
        <w:t xml:space="preserve">Online: </w:t>
      </w:r>
      <w:bookmarkStart w:id="0" w:name="_GoBack"/>
      <w:r w:rsidRPr="00BB38C3">
        <w:rPr>
          <w:rFonts w:ascii="Times New Roman" w:eastAsia="Times New Roman" w:hAnsi="Times New Roman" w:cs="Times New Roman"/>
          <w:color w:val="333333"/>
          <w:sz w:val="19"/>
          <w:szCs w:val="19"/>
          <w:shd w:val="clear" w:color="auto" w:fill="CBCBCB"/>
        </w:rPr>
        <w:fldChar w:fldCharType="begin"/>
      </w:r>
      <w:r w:rsidRPr="00BB38C3">
        <w:rPr>
          <w:rFonts w:ascii="Times New Roman" w:eastAsia="Times New Roman" w:hAnsi="Times New Roman" w:cs="Times New Roman"/>
          <w:color w:val="333333"/>
          <w:sz w:val="19"/>
          <w:szCs w:val="19"/>
          <w:shd w:val="clear" w:color="auto" w:fill="CBCBCB"/>
        </w:rPr>
        <w:instrText xml:space="preserve"> HYPERLINK "http://link.galegroup.com.proxy.library.emory.edu/apps/doc/A563572019/LitRC?u=emory&amp;sid=LitRC&amp;xid=515f3903" </w:instrText>
      </w:r>
      <w:r w:rsidRPr="00BB38C3">
        <w:rPr>
          <w:rFonts w:ascii="Times New Roman" w:eastAsia="Times New Roman" w:hAnsi="Times New Roman" w:cs="Times New Roman"/>
          <w:color w:val="333333"/>
          <w:sz w:val="19"/>
          <w:szCs w:val="19"/>
          <w:shd w:val="clear" w:color="auto" w:fill="CBCBCB"/>
        </w:rPr>
      </w:r>
      <w:r w:rsidRPr="00BB38C3">
        <w:rPr>
          <w:rFonts w:ascii="Times New Roman" w:eastAsia="Times New Roman" w:hAnsi="Times New Roman" w:cs="Times New Roman"/>
          <w:color w:val="333333"/>
          <w:sz w:val="19"/>
          <w:szCs w:val="19"/>
          <w:shd w:val="clear" w:color="auto" w:fill="CBCBCB"/>
        </w:rPr>
        <w:fldChar w:fldCharType="separate"/>
      </w:r>
      <w:r w:rsidRPr="00BB38C3">
        <w:rPr>
          <w:rStyle w:val="Hyperlink"/>
          <w:rFonts w:ascii="Times New Roman" w:eastAsia="Times New Roman" w:hAnsi="Times New Roman" w:cs="Times New Roman"/>
          <w:sz w:val="19"/>
          <w:szCs w:val="19"/>
          <w:shd w:val="clear" w:color="auto" w:fill="CBCBCB"/>
        </w:rPr>
        <w:t>http://link.galegroup.com.proxy.library.emory.edu/apps/doc/A563572019/LitRC?u=emory&amp;sid=LitRC&amp;xid=515f3903</w:t>
      </w:r>
      <w:r w:rsidRPr="00BB38C3">
        <w:rPr>
          <w:rFonts w:ascii="Times New Roman" w:eastAsia="Times New Roman" w:hAnsi="Times New Roman" w:cs="Times New Roman"/>
          <w:color w:val="333333"/>
          <w:sz w:val="19"/>
          <w:szCs w:val="19"/>
          <w:shd w:val="clear" w:color="auto" w:fill="CBCBCB"/>
        </w:rPr>
        <w:fldChar w:fldCharType="end"/>
      </w:r>
      <w:bookmarkEnd w:id="0"/>
    </w:p>
    <w:p w14:paraId="4466E1C3" w14:textId="5CDD92BE" w:rsidR="00BB38C3" w:rsidRDefault="00BB38C3" w:rsidP="00BB38C3">
      <w:pPr>
        <w:jc w:val="center"/>
        <w:rPr>
          <w:rFonts w:ascii="Times New Roman" w:hAnsi="Times New Roman" w:cs="Times New Roman"/>
          <w:i/>
        </w:rPr>
      </w:pPr>
      <w:r>
        <w:rPr>
          <w:rFonts w:ascii="Times New Roman" w:hAnsi="Times New Roman" w:cs="Times New Roman"/>
          <w:i/>
        </w:rPr>
        <w:t xml:space="preserve"> </w:t>
      </w:r>
    </w:p>
    <w:p w14:paraId="61C684D5" w14:textId="25EA4AED" w:rsidR="002A5B56" w:rsidRPr="00D573C2" w:rsidRDefault="002A5B56" w:rsidP="002C5142">
      <w:pPr>
        <w:jc w:val="center"/>
        <w:outlineLvl w:val="0"/>
        <w:rPr>
          <w:rFonts w:ascii="Times New Roman" w:hAnsi="Times New Roman" w:cs="Times New Roman"/>
        </w:rPr>
      </w:pPr>
      <w:r w:rsidRPr="002C5142">
        <w:rPr>
          <w:rFonts w:ascii="Times New Roman" w:hAnsi="Times New Roman" w:cs="Times New Roman"/>
          <w:b/>
        </w:rPr>
        <w:t xml:space="preserve">Borges y </w:t>
      </w:r>
      <w:proofErr w:type="spellStart"/>
      <w:r w:rsidRPr="002C5142">
        <w:rPr>
          <w:rFonts w:ascii="Times New Roman" w:hAnsi="Times New Roman" w:cs="Times New Roman"/>
          <w:b/>
        </w:rPr>
        <w:t>Yo</w:t>
      </w:r>
      <w:proofErr w:type="spellEnd"/>
      <w:r w:rsidR="001E1A07" w:rsidRPr="002C5142">
        <w:rPr>
          <w:rFonts w:ascii="Times New Roman" w:hAnsi="Times New Roman" w:cs="Times New Roman"/>
          <w:b/>
        </w:rPr>
        <w:t xml:space="preserve">, </w:t>
      </w:r>
      <w:proofErr w:type="spellStart"/>
      <w:r w:rsidR="001E1A07" w:rsidRPr="002C5142">
        <w:rPr>
          <w:rFonts w:ascii="Times New Roman" w:hAnsi="Times New Roman" w:cs="Times New Roman"/>
          <w:b/>
        </w:rPr>
        <w:t>Eiron</w:t>
      </w:r>
      <w:proofErr w:type="spellEnd"/>
      <w:r w:rsidR="001E1A07" w:rsidRPr="002C5142">
        <w:rPr>
          <w:rFonts w:ascii="Times New Roman" w:hAnsi="Times New Roman" w:cs="Times New Roman"/>
          <w:b/>
        </w:rPr>
        <w:t xml:space="preserve"> and </w:t>
      </w:r>
      <w:proofErr w:type="spellStart"/>
      <w:r w:rsidR="001E1A07" w:rsidRPr="002C5142">
        <w:rPr>
          <w:rFonts w:ascii="Times New Roman" w:hAnsi="Times New Roman" w:cs="Times New Roman"/>
          <w:b/>
        </w:rPr>
        <w:t>Alazon</w:t>
      </w:r>
      <w:proofErr w:type="spellEnd"/>
      <w:r w:rsidR="00D573C2" w:rsidRPr="002C5142">
        <w:rPr>
          <w:rFonts w:ascii="Times New Roman" w:hAnsi="Times New Roman" w:cs="Times New Roman"/>
          <w:b/>
        </w:rPr>
        <w:t>: Irony in “The Library of Babel” and “Pierre Menard</w:t>
      </w:r>
      <w:r w:rsidR="00D573C2">
        <w:rPr>
          <w:rFonts w:ascii="Times New Roman" w:hAnsi="Times New Roman" w:cs="Times New Roman"/>
        </w:rPr>
        <w:t>”</w:t>
      </w:r>
    </w:p>
    <w:p w14:paraId="17E2D40C" w14:textId="77777777" w:rsidR="001E1A07" w:rsidRDefault="001E1A07" w:rsidP="002A5B56">
      <w:pPr>
        <w:jc w:val="right"/>
        <w:rPr>
          <w:rFonts w:ascii="Times New Roman" w:hAnsi="Times New Roman" w:cs="Times New Roman"/>
          <w:i/>
        </w:rPr>
      </w:pPr>
    </w:p>
    <w:p w14:paraId="73ED7CB7" w14:textId="204C724A" w:rsidR="002860D9" w:rsidRDefault="001E1A07" w:rsidP="001E1A07">
      <w:pPr>
        <w:spacing w:line="480" w:lineRule="auto"/>
        <w:rPr>
          <w:rFonts w:ascii="Times New Roman" w:hAnsi="Times New Roman" w:cs="Times New Roman"/>
        </w:rPr>
      </w:pPr>
      <w:r>
        <w:rPr>
          <w:rFonts w:ascii="Times New Roman" w:hAnsi="Times New Roman" w:cs="Times New Roman"/>
        </w:rPr>
        <w:t xml:space="preserve">Borges made a habit of </w:t>
      </w:r>
      <w:r w:rsidR="00C0565E">
        <w:rPr>
          <w:rFonts w:ascii="Times New Roman" w:hAnsi="Times New Roman" w:cs="Times New Roman"/>
        </w:rPr>
        <w:t>differing</w:t>
      </w:r>
      <w:r>
        <w:rPr>
          <w:rFonts w:ascii="Times New Roman" w:hAnsi="Times New Roman" w:cs="Times New Roman"/>
        </w:rPr>
        <w:t xml:space="preserve"> from himself. “El </w:t>
      </w:r>
      <w:proofErr w:type="spellStart"/>
      <w:r>
        <w:rPr>
          <w:rFonts w:ascii="Times New Roman" w:hAnsi="Times New Roman" w:cs="Times New Roman"/>
        </w:rPr>
        <w:t>otro</w:t>
      </w:r>
      <w:proofErr w:type="spellEnd"/>
      <w:r>
        <w:rPr>
          <w:rFonts w:ascii="Times New Roman" w:hAnsi="Times New Roman" w:cs="Times New Roman"/>
        </w:rPr>
        <w:t xml:space="preserve">” and “Borges y </w:t>
      </w:r>
      <w:proofErr w:type="spellStart"/>
      <w:r>
        <w:rPr>
          <w:rFonts w:ascii="Times New Roman" w:hAnsi="Times New Roman" w:cs="Times New Roman"/>
        </w:rPr>
        <w:t>yo</w:t>
      </w:r>
      <w:proofErr w:type="spellEnd"/>
      <w:r>
        <w:rPr>
          <w:rFonts w:ascii="Times New Roman" w:hAnsi="Times New Roman" w:cs="Times New Roman"/>
        </w:rPr>
        <w:t xml:space="preserve">” are only the most overt examples from a corpus that constantly played with his biography, his beliefs, and his proper name. </w:t>
      </w:r>
      <w:r w:rsidR="00CE3405">
        <w:rPr>
          <w:rFonts w:ascii="Times New Roman" w:hAnsi="Times New Roman" w:cs="Times New Roman"/>
        </w:rPr>
        <w:t xml:space="preserve">In his “non-fiction,” this </w:t>
      </w:r>
      <w:proofErr w:type="spellStart"/>
      <w:r w:rsidR="00CE3405" w:rsidRPr="00CE3405">
        <w:rPr>
          <w:rFonts w:ascii="Times New Roman" w:hAnsi="Times New Roman" w:cs="Times New Roman"/>
          <w:i/>
        </w:rPr>
        <w:t>Auseinselbstsetzung</w:t>
      </w:r>
      <w:proofErr w:type="spellEnd"/>
      <w:r w:rsidR="00CE3405">
        <w:rPr>
          <w:rFonts w:ascii="Times New Roman" w:hAnsi="Times New Roman" w:cs="Times New Roman"/>
        </w:rPr>
        <w:t xml:space="preserve"> takes the form of self-contradiction, </w:t>
      </w:r>
      <w:r w:rsidR="002A4574">
        <w:rPr>
          <w:rFonts w:ascii="Times New Roman" w:hAnsi="Times New Roman" w:cs="Times New Roman"/>
        </w:rPr>
        <w:t xml:space="preserve">asserting opposed theses in his own name, celebrating </w:t>
      </w:r>
      <w:proofErr w:type="spellStart"/>
      <w:r w:rsidR="002A4574">
        <w:rPr>
          <w:rFonts w:ascii="Times New Roman" w:hAnsi="Times New Roman" w:cs="Times New Roman"/>
        </w:rPr>
        <w:t>romantico</w:t>
      </w:r>
      <w:proofErr w:type="spellEnd"/>
      <w:r w:rsidR="002A4574">
        <w:rPr>
          <w:rFonts w:ascii="Times New Roman" w:hAnsi="Times New Roman" w:cs="Times New Roman"/>
        </w:rPr>
        <w:t xml:space="preserve">-mystical union with the absolute </w:t>
      </w:r>
      <w:r w:rsidR="00C0565E">
        <w:rPr>
          <w:rFonts w:ascii="Times New Roman" w:hAnsi="Times New Roman" w:cs="Times New Roman"/>
        </w:rPr>
        <w:t>together with</w:t>
      </w:r>
      <w:r w:rsidR="002A4574">
        <w:rPr>
          <w:rFonts w:ascii="Times New Roman" w:hAnsi="Times New Roman" w:cs="Times New Roman"/>
        </w:rPr>
        <w:t xml:space="preserve"> the difference-from-self that makes it impossible. </w:t>
      </w:r>
      <w:r w:rsidR="003F0FC5">
        <w:rPr>
          <w:rFonts w:ascii="Times New Roman" w:hAnsi="Times New Roman" w:cs="Times New Roman"/>
        </w:rPr>
        <w:t xml:space="preserve">In his fiction, this disseminative impulse takes the form of irony. </w:t>
      </w:r>
      <w:r w:rsidR="00F708F9">
        <w:rPr>
          <w:rFonts w:ascii="Times New Roman" w:hAnsi="Times New Roman" w:cs="Times New Roman"/>
        </w:rPr>
        <w:t>No difference could be more radical—</w:t>
      </w:r>
      <w:r w:rsidR="0084547E">
        <w:rPr>
          <w:rFonts w:ascii="Times New Roman" w:hAnsi="Times New Roman" w:cs="Times New Roman"/>
        </w:rPr>
        <w:t xml:space="preserve">in </w:t>
      </w:r>
      <w:r w:rsidR="00F708F9">
        <w:rPr>
          <w:rFonts w:ascii="Times New Roman" w:hAnsi="Times New Roman" w:cs="Times New Roman"/>
        </w:rPr>
        <w:t xml:space="preserve">the ironic </w:t>
      </w:r>
      <w:r w:rsidR="0084547E">
        <w:rPr>
          <w:rFonts w:ascii="Times New Roman" w:hAnsi="Times New Roman" w:cs="Times New Roman"/>
        </w:rPr>
        <w:t xml:space="preserve">text, not only is every word compromised or crossed-out, but the absent center </w:t>
      </w:r>
      <w:r w:rsidR="007D69B2">
        <w:rPr>
          <w:rFonts w:ascii="Times New Roman" w:hAnsi="Times New Roman" w:cs="Times New Roman"/>
        </w:rPr>
        <w:t>(what we blithely cal</w:t>
      </w:r>
      <w:r w:rsidR="00504ECB">
        <w:rPr>
          <w:rFonts w:ascii="Times New Roman" w:hAnsi="Times New Roman" w:cs="Times New Roman"/>
        </w:rPr>
        <w:t>l the narrator</w:t>
      </w:r>
      <w:r w:rsidR="00BF2454">
        <w:rPr>
          <w:rFonts w:ascii="Times New Roman" w:hAnsi="Times New Roman" w:cs="Times New Roman"/>
        </w:rPr>
        <w:t xml:space="preserve"> or author</w:t>
      </w:r>
      <w:r w:rsidR="007D69B2">
        <w:rPr>
          <w:rFonts w:ascii="Times New Roman" w:hAnsi="Times New Roman" w:cs="Times New Roman"/>
        </w:rPr>
        <w:t xml:space="preserve">) </w:t>
      </w:r>
      <w:r w:rsidR="0084547E">
        <w:rPr>
          <w:rFonts w:ascii="Times New Roman" w:hAnsi="Times New Roman" w:cs="Times New Roman"/>
        </w:rPr>
        <w:t>from which the narrati</w:t>
      </w:r>
      <w:r w:rsidR="00C0565E">
        <w:rPr>
          <w:rFonts w:ascii="Times New Roman" w:hAnsi="Times New Roman" w:cs="Times New Roman"/>
        </w:rPr>
        <w:t>ve seems to issue is also split</w:t>
      </w:r>
      <w:r w:rsidR="0084547E">
        <w:rPr>
          <w:rFonts w:ascii="Times New Roman" w:hAnsi="Times New Roman" w:cs="Times New Roman"/>
        </w:rPr>
        <w:t>.</w:t>
      </w:r>
      <w:r w:rsidR="004F217D">
        <w:rPr>
          <w:rFonts w:ascii="Times New Roman" w:hAnsi="Times New Roman" w:cs="Times New Roman"/>
        </w:rPr>
        <w:t xml:space="preserve"> </w:t>
      </w:r>
      <w:r w:rsidR="00771E13">
        <w:rPr>
          <w:rFonts w:ascii="Times New Roman" w:hAnsi="Times New Roman" w:cs="Times New Roman"/>
        </w:rPr>
        <w:t xml:space="preserve">Nor is </w:t>
      </w:r>
      <w:r w:rsidR="00A63927">
        <w:rPr>
          <w:rFonts w:ascii="Times New Roman" w:hAnsi="Times New Roman" w:cs="Times New Roman"/>
        </w:rPr>
        <w:t>Borges’s</w:t>
      </w:r>
      <w:r w:rsidR="00771E13">
        <w:rPr>
          <w:rFonts w:ascii="Times New Roman" w:hAnsi="Times New Roman" w:cs="Times New Roman"/>
        </w:rPr>
        <w:t xml:space="preserve"> irony the relatively simple sort of satire that lampoons a naïve view in order to place itself and the canny reader among the enlightened few. He straddled this divide as well, identifying himself with both poles of the ironic text, as though the ignorance he mocked was nonetheless, ineluctably, his own. </w:t>
      </w:r>
      <w:r w:rsidR="00D06EB5">
        <w:rPr>
          <w:rFonts w:ascii="Times New Roman" w:hAnsi="Times New Roman" w:cs="Times New Roman"/>
        </w:rPr>
        <w:t xml:space="preserve">This even comes across in the relentless humility of his interviews, where he constantly </w:t>
      </w:r>
      <w:r w:rsidR="005C6DDB">
        <w:rPr>
          <w:rFonts w:ascii="Times New Roman" w:hAnsi="Times New Roman" w:cs="Times New Roman"/>
        </w:rPr>
        <w:t>expresses feeling</w:t>
      </w:r>
      <w:r w:rsidR="00D06EB5">
        <w:rPr>
          <w:rFonts w:ascii="Times New Roman" w:hAnsi="Times New Roman" w:cs="Times New Roman"/>
        </w:rPr>
        <w:t xml:space="preserve"> both inferior next to and less vain than—Borges.</w:t>
      </w:r>
    </w:p>
    <w:p w14:paraId="78D666B2" w14:textId="77777777" w:rsidR="00F708F9" w:rsidRDefault="002860D9" w:rsidP="001E1A07">
      <w:pPr>
        <w:spacing w:line="480" w:lineRule="auto"/>
        <w:rPr>
          <w:rFonts w:ascii="Times New Roman" w:hAnsi="Times New Roman" w:cs="Times New Roman"/>
        </w:rPr>
      </w:pPr>
      <w:r>
        <w:rPr>
          <w:rFonts w:ascii="Times New Roman" w:hAnsi="Times New Roman" w:cs="Times New Roman"/>
        </w:rPr>
        <w:tab/>
      </w:r>
      <w:r w:rsidR="0084547E">
        <w:rPr>
          <w:rFonts w:ascii="Times New Roman" w:hAnsi="Times New Roman" w:cs="Times New Roman"/>
        </w:rPr>
        <w:t xml:space="preserve"> </w:t>
      </w:r>
      <w:r w:rsidR="002B2A89">
        <w:rPr>
          <w:rFonts w:ascii="Times New Roman" w:hAnsi="Times New Roman" w:cs="Times New Roman"/>
        </w:rPr>
        <w:t xml:space="preserve">The temptation, perhaps the necessity, of avoiding or effacing these self-contradictions is manifest </w:t>
      </w:r>
      <w:r w:rsidR="00AC3DC3">
        <w:rPr>
          <w:rFonts w:ascii="Times New Roman" w:hAnsi="Times New Roman" w:cs="Times New Roman"/>
        </w:rPr>
        <w:t xml:space="preserve">in the most prevalent readings of Borges. The ideas considered most characteristic of his style, such as the combinatoric exhaustibility of language from “The Library of Babel” or the context-dependence of meaning from “Pierre Menard: Author of the Quixote” are precisely the ideas he relentlessly ironized in those very stories. It is hard to say whether </w:t>
      </w:r>
      <w:r w:rsidR="0067370C">
        <w:rPr>
          <w:rFonts w:ascii="Times New Roman" w:hAnsi="Times New Roman" w:cs="Times New Roman"/>
        </w:rPr>
        <w:t>Borges</w:t>
      </w:r>
      <w:r w:rsidR="00AC3DC3">
        <w:rPr>
          <w:rFonts w:ascii="Times New Roman" w:hAnsi="Times New Roman" w:cs="Times New Roman"/>
        </w:rPr>
        <w:t xml:space="preserve"> would be disappointed or satisfied to see that his narrators were taken literally.</w:t>
      </w:r>
      <w:r w:rsidR="0067370C">
        <w:rPr>
          <w:rFonts w:ascii="Times New Roman" w:hAnsi="Times New Roman" w:cs="Times New Roman"/>
        </w:rPr>
        <w:t xml:space="preserve"> After all, one must always ask—which Borges?</w:t>
      </w:r>
    </w:p>
    <w:p w14:paraId="542EC25C" w14:textId="77777777" w:rsidR="0067370C" w:rsidRPr="001E1A07" w:rsidRDefault="0067370C" w:rsidP="001E1A07">
      <w:pPr>
        <w:spacing w:line="480" w:lineRule="auto"/>
        <w:rPr>
          <w:rFonts w:ascii="Times New Roman" w:hAnsi="Times New Roman" w:cs="Times New Roman"/>
        </w:rPr>
      </w:pPr>
    </w:p>
    <w:p w14:paraId="20E31B77" w14:textId="77777777" w:rsidR="0067370C" w:rsidRDefault="002A5B56" w:rsidP="0067370C">
      <w:pPr>
        <w:spacing w:line="480" w:lineRule="auto"/>
        <w:ind w:firstLine="720"/>
        <w:rPr>
          <w:rFonts w:ascii="Times New Roman" w:hAnsi="Times New Roman" w:cs="Times New Roman"/>
        </w:rPr>
      </w:pPr>
      <w:r w:rsidRPr="002A5B56">
        <w:rPr>
          <w:rFonts w:ascii="Times New Roman" w:hAnsi="Times New Roman" w:cs="Times New Roman"/>
        </w:rPr>
        <w:t>The narrator of “The Library of Babel,” a librarian living within its stacks, relentlessly asserts its totality and infinity.</w:t>
      </w:r>
      <w:r w:rsidR="00AC3DC3">
        <w:rPr>
          <w:rStyle w:val="FootnoteReference"/>
          <w:rFonts w:ascii="Times New Roman" w:hAnsi="Times New Roman" w:cs="Times New Roman"/>
        </w:rPr>
        <w:footnoteReference w:id="1"/>
      </w:r>
      <w:r w:rsidRPr="002A5B56">
        <w:rPr>
          <w:rFonts w:ascii="Times New Roman" w:hAnsi="Times New Roman" w:cs="Times New Roman"/>
        </w:rPr>
        <w:t xml:space="preserve"> It contains</w:t>
      </w:r>
      <w:r w:rsidR="00AC3DC3">
        <w:rPr>
          <w:rFonts w:ascii="Times New Roman" w:hAnsi="Times New Roman" w:cs="Times New Roman"/>
        </w:rPr>
        <w:t>, according to him,</w:t>
      </w:r>
      <w:r w:rsidRPr="002A5B56">
        <w:rPr>
          <w:rFonts w:ascii="Times New Roman" w:hAnsi="Times New Roman" w:cs="Times New Roman"/>
        </w:rPr>
        <w:t xml:space="preserve"> </w:t>
      </w:r>
      <w:r w:rsidR="00AC3DC3">
        <w:rPr>
          <w:rFonts w:ascii="Times New Roman" w:hAnsi="Times New Roman" w:cs="Times New Roman"/>
        </w:rPr>
        <w:t xml:space="preserve">not only </w:t>
      </w:r>
      <w:r w:rsidRPr="002A5B56">
        <w:rPr>
          <w:rFonts w:ascii="Times New Roman" w:hAnsi="Times New Roman" w:cs="Times New Roman"/>
        </w:rPr>
        <w:t xml:space="preserve">all possible permutations of its character set, </w:t>
      </w:r>
      <w:r w:rsidR="00AC3DC3">
        <w:rPr>
          <w:rFonts w:ascii="Times New Roman" w:hAnsi="Times New Roman" w:cs="Times New Roman"/>
        </w:rPr>
        <w:t xml:space="preserve">but </w:t>
      </w:r>
      <w:r w:rsidRPr="002A5B56">
        <w:rPr>
          <w:rFonts w:ascii="Times New Roman" w:hAnsi="Times New Roman" w:cs="Times New Roman"/>
        </w:rPr>
        <w:t xml:space="preserve">all possible meaning; it has existed always, will continue forever, and extends infinitely in space as well. Of course, none of these propositions could ever be verified by a creature conditioned by finitude, limited in space and time. Our narrator takes them on faith. There are several indications that Borges </w:t>
      </w:r>
      <w:r w:rsidR="0067370C">
        <w:rPr>
          <w:rFonts w:ascii="Times New Roman" w:hAnsi="Times New Roman" w:cs="Times New Roman"/>
        </w:rPr>
        <w:t>treats</w:t>
      </w:r>
      <w:r w:rsidRPr="002A5B56">
        <w:rPr>
          <w:rFonts w:ascii="Times New Roman" w:hAnsi="Times New Roman" w:cs="Times New Roman"/>
        </w:rPr>
        <w:t xml:space="preserve"> these claims ironically, not in order to denigrate the library (as though it could house all possible expression but falls short), but to show that totalizing expression is an impossible ideal.</w:t>
      </w:r>
      <w:r w:rsidR="00712707">
        <w:rPr>
          <w:rFonts w:ascii="Times New Roman" w:hAnsi="Times New Roman" w:cs="Times New Roman"/>
        </w:rPr>
        <w:t xml:space="preserve"> Despite all the ways Borges </w:t>
      </w:r>
      <w:r w:rsidR="0067370C">
        <w:rPr>
          <w:rFonts w:ascii="Times New Roman" w:hAnsi="Times New Roman" w:cs="Times New Roman"/>
        </w:rPr>
        <w:t xml:space="preserve">laces </w:t>
      </w:r>
      <w:r w:rsidR="00712707">
        <w:rPr>
          <w:rFonts w:ascii="Times New Roman" w:hAnsi="Times New Roman" w:cs="Times New Roman"/>
        </w:rPr>
        <w:t xml:space="preserve">these ideas </w:t>
      </w:r>
      <w:r w:rsidR="0067370C">
        <w:rPr>
          <w:rFonts w:ascii="Times New Roman" w:hAnsi="Times New Roman" w:cs="Times New Roman"/>
        </w:rPr>
        <w:t xml:space="preserve">with irony </w:t>
      </w:r>
      <w:r w:rsidR="00712707">
        <w:rPr>
          <w:rFonts w:ascii="Times New Roman" w:hAnsi="Times New Roman" w:cs="Times New Roman"/>
        </w:rPr>
        <w:t xml:space="preserve">in the story, </w:t>
      </w:r>
      <w:r w:rsidR="0067370C">
        <w:rPr>
          <w:rFonts w:ascii="Times New Roman" w:hAnsi="Times New Roman" w:cs="Times New Roman"/>
        </w:rPr>
        <w:t xml:space="preserve">it is rare to find critics willing to </w:t>
      </w:r>
      <w:r w:rsidRPr="002A5B56">
        <w:rPr>
          <w:rFonts w:ascii="Times New Roman" w:hAnsi="Times New Roman" w:cs="Times New Roman"/>
        </w:rPr>
        <w:t>quest</w:t>
      </w:r>
      <w:r w:rsidR="0067370C">
        <w:rPr>
          <w:rFonts w:ascii="Times New Roman" w:hAnsi="Times New Roman" w:cs="Times New Roman"/>
        </w:rPr>
        <w:t>ion the veracity of his narrator</w:t>
      </w:r>
      <w:r w:rsidRPr="002A5B56">
        <w:rPr>
          <w:rFonts w:ascii="Times New Roman" w:hAnsi="Times New Roman" w:cs="Times New Roman"/>
        </w:rPr>
        <w:t>.</w:t>
      </w:r>
      <w:r w:rsidR="0067370C" w:rsidRPr="002A5B56">
        <w:rPr>
          <w:rFonts w:ascii="Times New Roman" w:hAnsi="Times New Roman" w:cs="Times New Roman"/>
          <w:vertAlign w:val="superscript"/>
        </w:rPr>
        <w:footnoteReference w:id="2"/>
      </w:r>
    </w:p>
    <w:p w14:paraId="43A1681E" w14:textId="77777777" w:rsidR="006B40D2" w:rsidRDefault="002A69A6" w:rsidP="0067370C">
      <w:pPr>
        <w:spacing w:line="480" w:lineRule="auto"/>
        <w:ind w:firstLine="720"/>
        <w:rPr>
          <w:rStyle w:val="None"/>
          <w:rFonts w:ascii="Times New Roman" w:hAnsi="Times New Roman" w:cs="Times New Roman"/>
        </w:rPr>
      </w:pPr>
      <w:r>
        <w:rPr>
          <w:rStyle w:val="None"/>
          <w:rFonts w:ascii="Times New Roman" w:hAnsi="Times New Roman" w:cs="Times New Roman"/>
        </w:rPr>
        <w:t xml:space="preserve">Though the narrator makes </w:t>
      </w:r>
      <w:r w:rsidR="00504ECB">
        <w:rPr>
          <w:rStyle w:val="None"/>
          <w:rFonts w:ascii="Times New Roman" w:hAnsi="Times New Roman" w:cs="Times New Roman"/>
        </w:rPr>
        <w:t>the</w:t>
      </w:r>
      <w:r>
        <w:rPr>
          <w:rStyle w:val="None"/>
          <w:rFonts w:ascii="Times New Roman" w:hAnsi="Times New Roman" w:cs="Times New Roman"/>
        </w:rPr>
        <w:t xml:space="preserve"> facile equation </w:t>
      </w:r>
      <w:r w:rsidR="00504ECB">
        <w:rPr>
          <w:rStyle w:val="None"/>
          <w:rFonts w:ascii="Times New Roman" w:hAnsi="Times New Roman" w:cs="Times New Roman"/>
        </w:rPr>
        <w:t>that the library contains</w:t>
      </w:r>
      <w:r w:rsidR="002A5B56" w:rsidRPr="002A5B56">
        <w:rPr>
          <w:rStyle w:val="None"/>
          <w:rFonts w:ascii="Times New Roman" w:hAnsi="Times New Roman" w:cs="Times New Roman"/>
        </w:rPr>
        <w:t xml:space="preserve"> “all possible combinations of the twenty-odd orthographical symbols” and </w:t>
      </w:r>
      <w:r w:rsidR="00504ECB">
        <w:rPr>
          <w:rStyle w:val="None"/>
          <w:rFonts w:ascii="Times New Roman" w:hAnsi="Times New Roman" w:cs="Times New Roman"/>
        </w:rPr>
        <w:t xml:space="preserve">therefore </w:t>
      </w:r>
      <w:r w:rsidR="002A5B56" w:rsidRPr="002A5B56">
        <w:rPr>
          <w:rStyle w:val="None"/>
          <w:rFonts w:ascii="Times New Roman" w:hAnsi="Times New Roman" w:cs="Times New Roman"/>
        </w:rPr>
        <w:t>“all that it is given to express, in all languages” (</w:t>
      </w:r>
      <w:r w:rsidR="002A5B56" w:rsidRPr="002A5B56">
        <w:rPr>
          <w:rStyle w:val="None"/>
          <w:rFonts w:ascii="Times New Roman" w:hAnsi="Times New Roman" w:cs="Times New Roman"/>
          <w:i/>
          <w:iCs/>
        </w:rPr>
        <w:t>Labyrinths</w:t>
      </w:r>
      <w:r w:rsidR="002A5B56" w:rsidRPr="002A5B56">
        <w:rPr>
          <w:rStyle w:val="None"/>
          <w:rFonts w:ascii="Times New Roman" w:hAnsi="Times New Roman" w:cs="Times New Roman"/>
        </w:rPr>
        <w:t xml:space="preserve"> 54)</w:t>
      </w:r>
      <w:r>
        <w:rPr>
          <w:rStyle w:val="None"/>
          <w:rFonts w:ascii="Times New Roman" w:hAnsi="Times New Roman" w:cs="Times New Roman"/>
        </w:rPr>
        <w:t xml:space="preserve">, there are traces throughout the story of </w:t>
      </w:r>
      <w:r w:rsidR="00191A8B">
        <w:rPr>
          <w:rStyle w:val="None"/>
          <w:rFonts w:ascii="Times New Roman" w:hAnsi="Times New Roman" w:cs="Times New Roman"/>
        </w:rPr>
        <w:t xml:space="preserve">both </w:t>
      </w:r>
      <w:r>
        <w:rPr>
          <w:rStyle w:val="None"/>
          <w:rFonts w:ascii="Times New Roman" w:hAnsi="Times New Roman" w:cs="Times New Roman"/>
        </w:rPr>
        <w:t xml:space="preserve">the </w:t>
      </w:r>
      <w:r w:rsidR="00191A8B">
        <w:rPr>
          <w:rStyle w:val="None"/>
          <w:rFonts w:ascii="Times New Roman" w:hAnsi="Times New Roman" w:cs="Times New Roman"/>
        </w:rPr>
        <w:t xml:space="preserve">accidental and essential </w:t>
      </w:r>
      <w:r>
        <w:rPr>
          <w:rStyle w:val="None"/>
          <w:rFonts w:ascii="Times New Roman" w:hAnsi="Times New Roman" w:cs="Times New Roman"/>
        </w:rPr>
        <w:t xml:space="preserve">impossibility of this </w:t>
      </w:r>
      <w:r w:rsidR="00191A8B">
        <w:rPr>
          <w:rStyle w:val="None"/>
          <w:rFonts w:ascii="Times New Roman" w:hAnsi="Times New Roman" w:cs="Times New Roman"/>
        </w:rPr>
        <w:t>exhaustion of language</w:t>
      </w:r>
      <w:r w:rsidR="002A5B56" w:rsidRPr="002A5B56">
        <w:rPr>
          <w:rStyle w:val="None"/>
          <w:rFonts w:ascii="Times New Roman" w:hAnsi="Times New Roman" w:cs="Times New Roman"/>
        </w:rPr>
        <w:t xml:space="preserve">. </w:t>
      </w:r>
      <w:r w:rsidR="00D61069">
        <w:rPr>
          <w:rStyle w:val="None"/>
          <w:rFonts w:ascii="Times New Roman" w:hAnsi="Times New Roman" w:cs="Times New Roman"/>
        </w:rPr>
        <w:t>Borges treats the id</w:t>
      </w:r>
      <w:r w:rsidR="00504ECB">
        <w:rPr>
          <w:rStyle w:val="None"/>
          <w:rFonts w:ascii="Times New Roman" w:hAnsi="Times New Roman" w:cs="Times New Roman"/>
        </w:rPr>
        <w:t>ea of the library’s twenty-five-</w:t>
      </w:r>
      <w:r w:rsidR="00D61069">
        <w:rPr>
          <w:rStyle w:val="None"/>
          <w:rFonts w:ascii="Times New Roman" w:hAnsi="Times New Roman" w:cs="Times New Roman"/>
        </w:rPr>
        <w:t xml:space="preserve">character set with characteristic duplicity, the </w:t>
      </w:r>
      <w:r w:rsidR="00DB0553">
        <w:rPr>
          <w:rStyle w:val="None"/>
          <w:rFonts w:ascii="Times New Roman" w:hAnsi="Times New Roman" w:cs="Times New Roman"/>
        </w:rPr>
        <w:t xml:space="preserve">story makes reference to other alphabets, </w:t>
      </w:r>
      <w:r w:rsidR="00D61069">
        <w:rPr>
          <w:rStyle w:val="None"/>
          <w:rFonts w:ascii="Times New Roman" w:hAnsi="Times New Roman" w:cs="Times New Roman"/>
        </w:rPr>
        <w:t xml:space="preserve">and includes many characters from outside </w:t>
      </w:r>
      <w:r w:rsidR="006B40D2">
        <w:rPr>
          <w:rStyle w:val="None"/>
          <w:rFonts w:ascii="Times New Roman" w:hAnsi="Times New Roman" w:cs="Times New Roman"/>
        </w:rPr>
        <w:t>its</w:t>
      </w:r>
      <w:r w:rsidR="00D61069">
        <w:rPr>
          <w:rStyle w:val="None"/>
          <w:rFonts w:ascii="Times New Roman" w:hAnsi="Times New Roman" w:cs="Times New Roman"/>
        </w:rPr>
        <w:t xml:space="preserve"> strict limits. </w:t>
      </w:r>
      <w:r w:rsidR="006B40D2">
        <w:rPr>
          <w:rStyle w:val="None"/>
          <w:rFonts w:ascii="Times New Roman" w:hAnsi="Times New Roman" w:cs="Times New Roman"/>
        </w:rPr>
        <w:t xml:space="preserve">These are its accidental limits, the extent to which the letter, signifier, or mark exerts an influence on signification; </w:t>
      </w:r>
      <w:r w:rsidR="00001FC5">
        <w:rPr>
          <w:rStyle w:val="None"/>
          <w:rFonts w:ascii="Times New Roman" w:hAnsi="Times New Roman" w:cs="Times New Roman"/>
        </w:rPr>
        <w:t xml:space="preserve">the </w:t>
      </w:r>
      <w:r w:rsidR="006B40D2">
        <w:rPr>
          <w:rStyle w:val="None"/>
          <w:rFonts w:ascii="Times New Roman" w:hAnsi="Times New Roman" w:cs="Times New Roman"/>
        </w:rPr>
        <w:t>nar</w:t>
      </w:r>
      <w:r w:rsidR="00C0565E">
        <w:rPr>
          <w:rStyle w:val="None"/>
          <w:rFonts w:ascii="Times New Roman" w:hAnsi="Times New Roman" w:cs="Times New Roman"/>
        </w:rPr>
        <w:t>rative shows by its irony that</w:t>
      </w:r>
      <w:r w:rsidR="00504ECB">
        <w:rPr>
          <w:rStyle w:val="None"/>
          <w:rFonts w:ascii="Times New Roman" w:hAnsi="Times New Roman" w:cs="Times New Roman"/>
        </w:rPr>
        <w:t xml:space="preserve">, far from expressing all possible meaning, the library’s </w:t>
      </w:r>
      <w:r w:rsidR="006B40D2">
        <w:rPr>
          <w:rStyle w:val="None"/>
          <w:rFonts w:ascii="Times New Roman" w:hAnsi="Times New Roman" w:cs="Times New Roman"/>
        </w:rPr>
        <w:t xml:space="preserve">bounded character set cannot even give expression to this brief fiction. Beyond these accidental limits, Borges also gestures toward the essential impossibility of the saturation of </w:t>
      </w:r>
      <w:r w:rsidR="006B40D2">
        <w:rPr>
          <w:rStyle w:val="None"/>
          <w:rFonts w:ascii="Times New Roman" w:hAnsi="Times New Roman" w:cs="Times New Roman"/>
        </w:rPr>
        <w:lastRenderedPageBreak/>
        <w:t>meaning, which resides in every letter’s endless differing from itself, like the body of this ironic narrative.</w:t>
      </w:r>
    </w:p>
    <w:p w14:paraId="2224101B" w14:textId="77777777" w:rsidR="002A5B56" w:rsidRPr="002A5B56" w:rsidRDefault="002A5B56" w:rsidP="0067370C">
      <w:pPr>
        <w:spacing w:line="480" w:lineRule="auto"/>
        <w:ind w:firstLine="720"/>
        <w:rPr>
          <w:rStyle w:val="None"/>
          <w:rFonts w:ascii="Times New Roman" w:hAnsi="Times New Roman" w:cs="Times New Roman"/>
        </w:rPr>
      </w:pPr>
      <w:r w:rsidRPr="002A5B56">
        <w:rPr>
          <w:rStyle w:val="None"/>
          <w:rFonts w:ascii="Times New Roman" w:hAnsi="Times New Roman" w:cs="Times New Roman"/>
        </w:rPr>
        <w:t xml:space="preserve"> </w:t>
      </w:r>
      <w:r w:rsidR="00AC165D">
        <w:rPr>
          <w:rStyle w:val="None"/>
          <w:rFonts w:ascii="Times New Roman" w:hAnsi="Times New Roman" w:cs="Times New Roman"/>
        </w:rPr>
        <w:t>The attempt to track down which twenty-two letters Borges or his narrator had in mind reveals many of the absurdities</w:t>
      </w:r>
      <w:r w:rsidR="00B826D1">
        <w:rPr>
          <w:rStyle w:val="None"/>
          <w:rFonts w:ascii="Times New Roman" w:hAnsi="Times New Roman" w:cs="Times New Roman"/>
        </w:rPr>
        <w:t xml:space="preserve"> of his claim.</w:t>
      </w:r>
      <w:r w:rsidR="00AC165D">
        <w:rPr>
          <w:rStyle w:val="None"/>
          <w:rFonts w:ascii="Times New Roman" w:hAnsi="Times New Roman" w:cs="Times New Roman"/>
        </w:rPr>
        <w:t xml:space="preserve"> </w:t>
      </w:r>
      <w:r w:rsidRPr="002A5B56">
        <w:rPr>
          <w:rStyle w:val="None"/>
          <w:rFonts w:ascii="Times New Roman" w:hAnsi="Times New Roman" w:cs="Times New Roman"/>
        </w:rPr>
        <w:t xml:space="preserve">The number twenty-two must have suggested itself to Borges because of his interest in the Cabbalistic treatment of the twenty-two letters of the Hebrew alphabet. For example, in his essay “On the Cult of Books,” Borges attributes the following sentence, which could be mistaken for an affirmation from our narrator, to the Cabbalistic creation story of the </w:t>
      </w:r>
      <w:proofErr w:type="spellStart"/>
      <w:r w:rsidRPr="002A5B56">
        <w:rPr>
          <w:rStyle w:val="None"/>
          <w:rFonts w:ascii="Times New Roman" w:hAnsi="Times New Roman" w:cs="Times New Roman"/>
          <w:i/>
          <w:iCs/>
        </w:rPr>
        <w:t>Sepher</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Yetzirah</w:t>
      </w:r>
      <w:proofErr w:type="spellEnd"/>
      <w:r w:rsidRPr="002A5B56">
        <w:rPr>
          <w:rStyle w:val="None"/>
          <w:rFonts w:ascii="Times New Roman" w:hAnsi="Times New Roman" w:cs="Times New Roman"/>
          <w:i/>
          <w:iCs/>
        </w:rPr>
        <w:t xml:space="preserve">: </w:t>
      </w:r>
      <w:r w:rsidRPr="002A5B56">
        <w:rPr>
          <w:rStyle w:val="None"/>
          <w:rFonts w:ascii="Times New Roman" w:hAnsi="Times New Roman" w:cs="Times New Roman"/>
        </w:rPr>
        <w:t>“Twenty-two letters: God drew them, engraved them, combined them, weighed them, permutated them, and with them produced everything that is and everything that will be” (360-361).</w:t>
      </w:r>
      <w:r w:rsidRPr="002A5B56">
        <w:rPr>
          <w:rStyle w:val="FootnoteReference"/>
          <w:rFonts w:ascii="Times New Roman" w:hAnsi="Times New Roman" w:cs="Times New Roman"/>
        </w:rPr>
        <w:footnoteReference w:id="3"/>
      </w:r>
      <w:r w:rsidRPr="002A5B56">
        <w:rPr>
          <w:rStyle w:val="None"/>
          <w:rFonts w:ascii="Times New Roman" w:hAnsi="Times New Roman" w:cs="Times New Roman"/>
        </w:rPr>
        <w:t xml:space="preserve"> A divine creation consisting of the permutation of twenty-two letters has an obvious resonance with our story; nevertheless, the alphabet used in the library is clearly Roman.</w:t>
      </w:r>
      <w:r w:rsidRPr="002A5B56">
        <w:rPr>
          <w:rStyle w:val="None"/>
          <w:rFonts w:ascii="Times New Roman" w:hAnsi="Times New Roman" w:cs="Times New Roman"/>
          <w:vertAlign w:val="superscript"/>
        </w:rPr>
        <w:footnoteReference w:id="4"/>
      </w:r>
    </w:p>
    <w:p w14:paraId="5C8AA10A" w14:textId="77777777" w:rsidR="002A5B56" w:rsidRPr="002A5B56" w:rsidRDefault="002A5B56" w:rsidP="002A5B56">
      <w:pPr>
        <w:spacing w:line="480" w:lineRule="auto"/>
        <w:rPr>
          <w:rStyle w:val="None"/>
          <w:rFonts w:ascii="Times New Roman" w:hAnsi="Times New Roman" w:cs="Times New Roman"/>
        </w:rPr>
      </w:pPr>
      <w:r w:rsidRPr="002A5B56">
        <w:rPr>
          <w:rStyle w:val="None"/>
          <w:rFonts w:ascii="Times New Roman" w:hAnsi="Times New Roman" w:cs="Times New Roman"/>
        </w:rPr>
        <w:tab/>
        <w:t>Borges has offered one account of a set of twenty-two letters capable of reproducing all possible text, in his essay “The Total Library.” Presumably starting from the 30-letter Spanish alphabet, Borges removes the duplicative double letters (</w:t>
      </w:r>
      <w:proofErr w:type="spellStart"/>
      <w:r w:rsidRPr="002A5B56">
        <w:rPr>
          <w:rStyle w:val="None"/>
          <w:rFonts w:ascii="Times New Roman" w:hAnsi="Times New Roman" w:cs="Times New Roman"/>
          <w:i/>
          <w:iCs/>
        </w:rPr>
        <w:t>ch</w:t>
      </w:r>
      <w:proofErr w:type="spellEnd"/>
      <w:r w:rsidRPr="002A5B56">
        <w:rPr>
          <w:rStyle w:val="None"/>
          <w:rFonts w:ascii="Times New Roman" w:hAnsi="Times New Roman" w:cs="Times New Roman"/>
        </w:rPr>
        <w:t xml:space="preserve">, </w:t>
      </w:r>
      <w:proofErr w:type="spellStart"/>
      <w:r w:rsidRPr="002A5B56">
        <w:rPr>
          <w:rStyle w:val="None"/>
          <w:rFonts w:ascii="Times New Roman" w:hAnsi="Times New Roman" w:cs="Times New Roman"/>
          <w:i/>
          <w:iCs/>
        </w:rPr>
        <w:t>ll</w:t>
      </w:r>
      <w:proofErr w:type="spellEnd"/>
      <w:r w:rsidRPr="002A5B56">
        <w:rPr>
          <w:rStyle w:val="None"/>
          <w:rFonts w:ascii="Times New Roman" w:hAnsi="Times New Roman" w:cs="Times New Roman"/>
        </w:rPr>
        <w:t xml:space="preserve">, </w:t>
      </w:r>
      <w:proofErr w:type="spellStart"/>
      <w:r w:rsidRPr="002A5B56">
        <w:rPr>
          <w:rStyle w:val="None"/>
          <w:rFonts w:ascii="Times New Roman" w:hAnsi="Times New Roman" w:cs="Times New Roman"/>
          <w:i/>
          <w:iCs/>
        </w:rPr>
        <w:t>rr</w:t>
      </w:r>
      <w:proofErr w:type="spellEnd"/>
      <w:r w:rsidRPr="002A5B56">
        <w:rPr>
          <w:rStyle w:val="None"/>
          <w:rFonts w:ascii="Times New Roman" w:hAnsi="Times New Roman" w:cs="Times New Roman"/>
        </w:rPr>
        <w:t xml:space="preserve">) as well as the less unnecessary </w:t>
      </w:r>
      <w:r w:rsidRPr="002A5B56">
        <w:rPr>
          <w:rStyle w:val="None"/>
          <w:rFonts w:ascii="Times New Roman" w:hAnsi="Times New Roman" w:cs="Times New Roman"/>
          <w:i/>
          <w:iCs/>
        </w:rPr>
        <w:t xml:space="preserve">ñ. </w:t>
      </w:r>
      <w:r w:rsidRPr="002A5B56">
        <w:rPr>
          <w:rStyle w:val="None"/>
          <w:rFonts w:ascii="Times New Roman" w:hAnsi="Times New Roman" w:cs="Times New Roman"/>
        </w:rPr>
        <w:t xml:space="preserve">Removing </w:t>
      </w:r>
      <w:r w:rsidRPr="002A5B56">
        <w:rPr>
          <w:rStyle w:val="None"/>
          <w:rFonts w:ascii="Times New Roman" w:hAnsi="Times New Roman" w:cs="Times New Roman"/>
          <w:i/>
          <w:iCs/>
        </w:rPr>
        <w:t>k</w:t>
      </w:r>
      <w:r w:rsidRPr="002A5B56">
        <w:rPr>
          <w:rStyle w:val="None"/>
          <w:rFonts w:ascii="Times New Roman" w:hAnsi="Times New Roman" w:cs="Times New Roman"/>
        </w:rPr>
        <w:t xml:space="preserve"> and </w:t>
      </w:r>
      <w:r w:rsidRPr="002A5B56">
        <w:rPr>
          <w:rStyle w:val="None"/>
          <w:rFonts w:ascii="Times New Roman" w:hAnsi="Times New Roman" w:cs="Times New Roman"/>
          <w:i/>
          <w:iCs/>
        </w:rPr>
        <w:t>w</w:t>
      </w:r>
      <w:r w:rsidRPr="002A5B56">
        <w:rPr>
          <w:rStyle w:val="None"/>
          <w:rFonts w:ascii="Times New Roman" w:hAnsi="Times New Roman" w:cs="Times New Roman"/>
        </w:rPr>
        <w:t xml:space="preserve">, foreign letters appearing only in loan words, leaves us with twenty-four letters. </w:t>
      </w:r>
      <w:r w:rsidR="00A63927">
        <w:rPr>
          <w:rStyle w:val="None"/>
          <w:rFonts w:ascii="Times New Roman" w:hAnsi="Times New Roman" w:cs="Times New Roman"/>
        </w:rPr>
        <w:t>Borges’s</w:t>
      </w:r>
      <w:r w:rsidRPr="002A5B56">
        <w:rPr>
          <w:rStyle w:val="None"/>
          <w:rFonts w:ascii="Times New Roman" w:hAnsi="Times New Roman" w:cs="Times New Roman"/>
        </w:rPr>
        <w:t xml:space="preserve"> account seems to pick up here: “The alphabet could relinquish the </w:t>
      </w:r>
      <w:r w:rsidRPr="002A5B56">
        <w:rPr>
          <w:rStyle w:val="None"/>
          <w:rFonts w:ascii="Times New Roman" w:hAnsi="Times New Roman" w:cs="Times New Roman"/>
          <w:i/>
          <w:iCs/>
        </w:rPr>
        <w:t xml:space="preserve">q </w:t>
      </w:r>
      <w:r w:rsidRPr="002A5B56">
        <w:rPr>
          <w:rStyle w:val="None"/>
          <w:rFonts w:ascii="Times New Roman" w:hAnsi="Times New Roman" w:cs="Times New Roman"/>
        </w:rPr>
        <w:t xml:space="preserve">(which is completely superfluous), the </w:t>
      </w:r>
      <w:r w:rsidRPr="002A5B56">
        <w:rPr>
          <w:rStyle w:val="None"/>
          <w:rFonts w:ascii="Times New Roman" w:hAnsi="Times New Roman" w:cs="Times New Roman"/>
          <w:i/>
          <w:iCs/>
        </w:rPr>
        <w:t>x</w:t>
      </w:r>
      <w:r w:rsidRPr="002A5B56">
        <w:rPr>
          <w:rStyle w:val="None"/>
          <w:rFonts w:ascii="Times New Roman" w:hAnsi="Times New Roman" w:cs="Times New Roman"/>
        </w:rPr>
        <w:t xml:space="preserve"> (which is an abbreviation), and all capital letters” (215). In his introduction to </w:t>
      </w:r>
      <w:r w:rsidRPr="002A5B56">
        <w:rPr>
          <w:rStyle w:val="None"/>
          <w:rFonts w:ascii="Times New Roman" w:hAnsi="Times New Roman" w:cs="Times New Roman"/>
          <w:i/>
          <w:iCs/>
        </w:rPr>
        <w:t xml:space="preserve">El </w:t>
      </w:r>
      <w:proofErr w:type="spellStart"/>
      <w:r w:rsidRPr="002A5B56">
        <w:rPr>
          <w:rStyle w:val="None"/>
          <w:rFonts w:ascii="Times New Roman" w:hAnsi="Times New Roman" w:cs="Times New Roman"/>
          <w:i/>
          <w:iCs/>
        </w:rPr>
        <w:t>jardín</w:t>
      </w:r>
      <w:proofErr w:type="spellEnd"/>
      <w:r w:rsidRPr="002A5B56">
        <w:rPr>
          <w:rStyle w:val="None"/>
          <w:rFonts w:ascii="Times New Roman" w:hAnsi="Times New Roman" w:cs="Times New Roman"/>
          <w:i/>
          <w:iCs/>
        </w:rPr>
        <w:t xml:space="preserve"> de </w:t>
      </w:r>
      <w:proofErr w:type="spellStart"/>
      <w:r w:rsidRPr="002A5B56">
        <w:rPr>
          <w:rStyle w:val="None"/>
          <w:rFonts w:ascii="Times New Roman" w:hAnsi="Times New Roman" w:cs="Times New Roman"/>
          <w:i/>
          <w:iCs/>
        </w:rPr>
        <w:t>senderos</w:t>
      </w:r>
      <w:proofErr w:type="spellEnd"/>
      <w:r w:rsidRPr="002A5B56">
        <w:rPr>
          <w:rStyle w:val="None"/>
          <w:rFonts w:ascii="Times New Roman" w:hAnsi="Times New Roman" w:cs="Times New Roman"/>
          <w:i/>
          <w:iCs/>
        </w:rPr>
        <w:t xml:space="preserve"> que se </w:t>
      </w:r>
      <w:proofErr w:type="spellStart"/>
      <w:r w:rsidRPr="002A5B56">
        <w:rPr>
          <w:rStyle w:val="None"/>
          <w:rFonts w:ascii="Times New Roman" w:hAnsi="Times New Roman" w:cs="Times New Roman"/>
          <w:i/>
          <w:iCs/>
        </w:rPr>
        <w:t>bifurcan</w:t>
      </w:r>
      <w:proofErr w:type="spellEnd"/>
      <w:r w:rsidRPr="002A5B56">
        <w:rPr>
          <w:rStyle w:val="None"/>
          <w:rFonts w:ascii="Times New Roman" w:hAnsi="Times New Roman" w:cs="Times New Roman"/>
        </w:rPr>
        <w:t xml:space="preserve">, Borges cited this essay as an account of the </w:t>
      </w:r>
      <w:r w:rsidRPr="002A5B56">
        <w:rPr>
          <w:rStyle w:val="None"/>
          <w:rFonts w:ascii="Times New Roman" w:hAnsi="Times New Roman" w:cs="Times New Roman"/>
        </w:rPr>
        <w:lastRenderedPageBreak/>
        <w:t xml:space="preserve">true authors of “The Library of Babel.” Here he attributes both the idea and the dimensions of a twenty-two-letter essential character set to </w:t>
      </w:r>
      <w:r w:rsidR="008510B9">
        <w:rPr>
          <w:rStyle w:val="None"/>
          <w:rFonts w:ascii="Times New Roman" w:hAnsi="Times New Roman" w:cs="Times New Roman"/>
        </w:rPr>
        <w:t xml:space="preserve">Kurd </w:t>
      </w:r>
      <w:proofErr w:type="spellStart"/>
      <w:r w:rsidR="00001FC5">
        <w:rPr>
          <w:rStyle w:val="None"/>
          <w:rFonts w:ascii="Times New Roman" w:hAnsi="Times New Roman" w:cs="Times New Roman"/>
        </w:rPr>
        <w:t>Lasswitz</w:t>
      </w:r>
      <w:proofErr w:type="spellEnd"/>
      <w:r w:rsidR="00001FC5">
        <w:rPr>
          <w:rStyle w:val="None"/>
          <w:rFonts w:ascii="Times New Roman" w:hAnsi="Times New Roman" w:cs="Times New Roman"/>
        </w:rPr>
        <w:t>,</w:t>
      </w:r>
      <w:r w:rsidRPr="002A5B56">
        <w:rPr>
          <w:rStyle w:val="None"/>
          <w:rFonts w:ascii="Times New Roman" w:hAnsi="Times New Roman" w:cs="Times New Roman"/>
        </w:rPr>
        <w:t xml:space="preserve"> “By means of similar simplifications, </w:t>
      </w:r>
      <w:proofErr w:type="spellStart"/>
      <w:r w:rsidRPr="002A5B56">
        <w:rPr>
          <w:rStyle w:val="None"/>
          <w:rFonts w:ascii="Times New Roman" w:hAnsi="Times New Roman" w:cs="Times New Roman"/>
        </w:rPr>
        <w:t>Lasswitz</w:t>
      </w:r>
      <w:proofErr w:type="spellEnd"/>
      <w:r w:rsidRPr="002A5B56">
        <w:rPr>
          <w:rStyle w:val="None"/>
          <w:rFonts w:ascii="Times New Roman" w:hAnsi="Times New Roman" w:cs="Times New Roman"/>
        </w:rPr>
        <w:t xml:space="preserve"> arrives at twenty-five symbols [</w:t>
      </w:r>
      <w:proofErr w:type="spellStart"/>
      <w:r w:rsidRPr="002A5B56">
        <w:rPr>
          <w:rStyle w:val="None"/>
          <w:rFonts w:ascii="Times New Roman" w:hAnsi="Times New Roman" w:cs="Times New Roman"/>
          <w:i/>
          <w:iCs/>
        </w:rPr>
        <w:t>símbolos</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suficientes</w:t>
      </w:r>
      <w:proofErr w:type="spellEnd"/>
      <w:r w:rsidRPr="002A5B56">
        <w:rPr>
          <w:rStyle w:val="None"/>
          <w:rFonts w:ascii="Times New Roman" w:hAnsi="Times New Roman" w:cs="Times New Roman"/>
        </w:rPr>
        <w:t xml:space="preserve">] (twenty-two letters, the space, the period, the comma), whose </w:t>
      </w:r>
      <w:proofErr w:type="spellStart"/>
      <w:r w:rsidRPr="002A5B56">
        <w:rPr>
          <w:rStyle w:val="None"/>
          <w:rFonts w:ascii="Times New Roman" w:hAnsi="Times New Roman" w:cs="Times New Roman"/>
        </w:rPr>
        <w:t>recombinations</w:t>
      </w:r>
      <w:proofErr w:type="spellEnd"/>
      <w:r w:rsidRPr="002A5B56">
        <w:rPr>
          <w:rStyle w:val="None"/>
          <w:rFonts w:ascii="Times New Roman" w:hAnsi="Times New Roman" w:cs="Times New Roman"/>
        </w:rPr>
        <w:t xml:space="preserve"> and repetitions encompass everything possible to express in all languages” (216).</w:t>
      </w:r>
      <w:r w:rsidRPr="002A5B56">
        <w:rPr>
          <w:rStyle w:val="None"/>
          <w:rFonts w:ascii="Times New Roman" w:hAnsi="Times New Roman" w:cs="Times New Roman"/>
          <w:vertAlign w:val="superscript"/>
        </w:rPr>
        <w:footnoteReference w:id="5"/>
      </w:r>
      <w:r w:rsidRPr="002A5B56">
        <w:rPr>
          <w:rStyle w:val="None"/>
          <w:rFonts w:ascii="Times New Roman" w:hAnsi="Times New Roman" w:cs="Times New Roman"/>
        </w:rPr>
        <w:t xml:space="preserve"> </w:t>
      </w:r>
    </w:p>
    <w:p w14:paraId="4D50F68A" w14:textId="77777777" w:rsidR="002A5B56" w:rsidRPr="002A5B56" w:rsidRDefault="002A5B56" w:rsidP="002A5B56">
      <w:pPr>
        <w:spacing w:line="480" w:lineRule="auto"/>
        <w:rPr>
          <w:rStyle w:val="None"/>
          <w:rFonts w:ascii="Times New Roman" w:hAnsi="Times New Roman" w:cs="Times New Roman"/>
        </w:rPr>
      </w:pPr>
      <w:r w:rsidRPr="002A5B56">
        <w:rPr>
          <w:rStyle w:val="None"/>
          <w:rFonts w:ascii="Times New Roman" w:hAnsi="Times New Roman" w:cs="Times New Roman"/>
        </w:rPr>
        <w:tab/>
        <w:t xml:space="preserve">As is typical of </w:t>
      </w:r>
      <w:r w:rsidR="00A63927">
        <w:rPr>
          <w:rStyle w:val="None"/>
          <w:rFonts w:ascii="Times New Roman" w:hAnsi="Times New Roman" w:cs="Times New Roman"/>
        </w:rPr>
        <w:t>Borges’s</w:t>
      </w:r>
      <w:r w:rsidRPr="002A5B56">
        <w:rPr>
          <w:rStyle w:val="None"/>
          <w:rFonts w:ascii="Times New Roman" w:hAnsi="Times New Roman" w:cs="Times New Roman"/>
        </w:rPr>
        <w:t xml:space="preserve"> writing, the textual web of this essay, his short story, and what we might incautiously call the true history is inextricably complex. At the very least, we can with some certainty refute John Sturrock, who assumes that Kurd </w:t>
      </w:r>
      <w:proofErr w:type="spellStart"/>
      <w:r w:rsidRPr="002A5B56">
        <w:rPr>
          <w:rStyle w:val="None"/>
          <w:rFonts w:ascii="Times New Roman" w:hAnsi="Times New Roman" w:cs="Times New Roman"/>
        </w:rPr>
        <w:t>Lasswitz</w:t>
      </w:r>
      <w:proofErr w:type="spellEnd"/>
      <w:r w:rsidRPr="002A5B56">
        <w:rPr>
          <w:rStyle w:val="None"/>
          <w:rFonts w:ascii="Times New Roman" w:hAnsi="Times New Roman" w:cs="Times New Roman"/>
        </w:rPr>
        <w:t xml:space="preserve"> must have been one of </w:t>
      </w:r>
      <w:r w:rsidR="00A63927">
        <w:rPr>
          <w:rStyle w:val="None"/>
          <w:rFonts w:ascii="Times New Roman" w:hAnsi="Times New Roman" w:cs="Times New Roman"/>
        </w:rPr>
        <w:t>Borges’s</w:t>
      </w:r>
      <w:r w:rsidRPr="002A5B56">
        <w:rPr>
          <w:rStyle w:val="None"/>
          <w:rFonts w:ascii="Times New Roman" w:hAnsi="Times New Roman" w:cs="Times New Roman"/>
        </w:rPr>
        <w:t xml:space="preserve"> inventions, given that his name roughly translates to “weary wits” (100). He existed, was a German proto-science fiction author, and wrote “The Universal Library,” a short story Borges rightly cites as an influence, though perhaps for the wrong reasons. The </w:t>
      </w:r>
      <w:r w:rsidR="00B826D1">
        <w:rPr>
          <w:rStyle w:val="None"/>
          <w:rFonts w:ascii="Times New Roman" w:hAnsi="Times New Roman" w:cs="Times New Roman"/>
        </w:rPr>
        <w:t>protagonists</w:t>
      </w:r>
      <w:r w:rsidRPr="002A5B56">
        <w:rPr>
          <w:rStyle w:val="None"/>
          <w:rFonts w:ascii="Times New Roman" w:hAnsi="Times New Roman" w:cs="Times New Roman"/>
        </w:rPr>
        <w:t xml:space="preserve"> of </w:t>
      </w:r>
      <w:proofErr w:type="spellStart"/>
      <w:r w:rsidRPr="002A5B56">
        <w:rPr>
          <w:rStyle w:val="None"/>
          <w:rFonts w:ascii="Times New Roman" w:hAnsi="Times New Roman" w:cs="Times New Roman"/>
        </w:rPr>
        <w:t>Lasswitz’</w:t>
      </w:r>
      <w:r w:rsidR="00A63927">
        <w:rPr>
          <w:rStyle w:val="None"/>
          <w:rFonts w:ascii="Times New Roman" w:hAnsi="Times New Roman" w:cs="Times New Roman"/>
        </w:rPr>
        <w:t>s</w:t>
      </w:r>
      <w:proofErr w:type="spellEnd"/>
      <w:r w:rsidRPr="002A5B56">
        <w:rPr>
          <w:rStyle w:val="None"/>
          <w:rFonts w:ascii="Times New Roman" w:hAnsi="Times New Roman" w:cs="Times New Roman"/>
        </w:rPr>
        <w:t xml:space="preserve"> story share with </w:t>
      </w:r>
      <w:r w:rsidR="00A63927">
        <w:rPr>
          <w:rStyle w:val="None"/>
          <w:rFonts w:ascii="Times New Roman" w:hAnsi="Times New Roman" w:cs="Times New Roman"/>
        </w:rPr>
        <w:t>Borges’s</w:t>
      </w:r>
      <w:r w:rsidRPr="002A5B56">
        <w:rPr>
          <w:rStyle w:val="None"/>
          <w:rFonts w:ascii="Times New Roman" w:hAnsi="Times New Roman" w:cs="Times New Roman"/>
        </w:rPr>
        <w:t xml:space="preserve"> </w:t>
      </w:r>
      <w:r w:rsidRPr="002A5B56">
        <w:rPr>
          <w:rStyle w:val="None"/>
          <w:rFonts w:ascii="Times New Roman" w:hAnsi="Times New Roman" w:cs="Times New Roman"/>
          <w:lang w:val="it-IT"/>
        </w:rPr>
        <w:t xml:space="preserve">narrator </w:t>
      </w:r>
      <w:r w:rsidRPr="002A5B56">
        <w:rPr>
          <w:rStyle w:val="None"/>
          <w:rFonts w:ascii="Times New Roman" w:hAnsi="Times New Roman" w:cs="Times New Roman"/>
        </w:rPr>
        <w:t xml:space="preserve">an interest in a subset of the library’s contents: for example, the lost works of Tacitus or the true and false catalogues of the library. While </w:t>
      </w:r>
      <w:proofErr w:type="spellStart"/>
      <w:r w:rsidRPr="002A5B56">
        <w:rPr>
          <w:rStyle w:val="None"/>
          <w:rFonts w:ascii="Times New Roman" w:hAnsi="Times New Roman" w:cs="Times New Roman"/>
        </w:rPr>
        <w:t>Lasswitz</w:t>
      </w:r>
      <w:proofErr w:type="spellEnd"/>
      <w:r w:rsidR="00E073AD">
        <w:rPr>
          <w:rStyle w:val="None"/>
          <w:rFonts w:ascii="Times New Roman" w:hAnsi="Times New Roman" w:cs="Times New Roman"/>
        </w:rPr>
        <w:t xml:space="preserve"> has one of his characters say</w:t>
      </w:r>
      <w:r w:rsidRPr="002A5B56">
        <w:rPr>
          <w:rStyle w:val="None"/>
          <w:rFonts w:ascii="Times New Roman" w:hAnsi="Times New Roman" w:cs="Times New Roman"/>
        </w:rPr>
        <w:t xml:space="preserve">, “your readers will conclude that this is an excerpt from one of the superfluous volumes of the Universal Library” (243), </w:t>
      </w:r>
      <w:r w:rsidR="00A63927">
        <w:rPr>
          <w:rStyle w:val="None"/>
          <w:rFonts w:ascii="Times New Roman" w:hAnsi="Times New Roman" w:cs="Times New Roman"/>
        </w:rPr>
        <w:t>Borges’s</w:t>
      </w:r>
      <w:r w:rsidRPr="002A5B56">
        <w:rPr>
          <w:rStyle w:val="None"/>
          <w:rFonts w:ascii="Times New Roman" w:hAnsi="Times New Roman" w:cs="Times New Roman"/>
        </w:rPr>
        <w:t xml:space="preserve"> narrator observes that “this wordy and useless epistle already exists in one of the […] innumerable hexagons” (</w:t>
      </w:r>
      <w:r w:rsidRPr="002A5B56">
        <w:rPr>
          <w:rStyle w:val="None"/>
          <w:rFonts w:ascii="Times New Roman" w:hAnsi="Times New Roman" w:cs="Times New Roman"/>
          <w:i/>
          <w:iCs/>
        </w:rPr>
        <w:t xml:space="preserve">Labyrinths </w:t>
      </w:r>
      <w:r w:rsidRPr="002A5B56">
        <w:rPr>
          <w:rStyle w:val="None"/>
          <w:rFonts w:ascii="Times New Roman" w:hAnsi="Times New Roman" w:cs="Times New Roman"/>
        </w:rPr>
        <w:t xml:space="preserve">57). One thing </w:t>
      </w:r>
      <w:r w:rsidR="00A63927">
        <w:rPr>
          <w:rStyle w:val="None"/>
          <w:rFonts w:ascii="Times New Roman" w:hAnsi="Times New Roman" w:cs="Times New Roman"/>
        </w:rPr>
        <w:t>Borges’s</w:t>
      </w:r>
      <w:r w:rsidRPr="002A5B56">
        <w:rPr>
          <w:rStyle w:val="None"/>
          <w:rFonts w:ascii="Times New Roman" w:hAnsi="Times New Roman" w:cs="Times New Roman"/>
        </w:rPr>
        <w:t xml:space="preserve"> library contains, though, that is definitely lackin</w:t>
      </w:r>
      <w:r w:rsidR="00FD01F9">
        <w:rPr>
          <w:rStyle w:val="None"/>
          <w:rFonts w:ascii="Times New Roman" w:hAnsi="Times New Roman" w:cs="Times New Roman"/>
        </w:rPr>
        <w:t xml:space="preserve">g from that of </w:t>
      </w:r>
      <w:proofErr w:type="spellStart"/>
      <w:r w:rsidR="00FD01F9">
        <w:rPr>
          <w:rStyle w:val="None"/>
          <w:rFonts w:ascii="Times New Roman" w:hAnsi="Times New Roman" w:cs="Times New Roman"/>
        </w:rPr>
        <w:t>Lasswitz</w:t>
      </w:r>
      <w:proofErr w:type="spellEnd"/>
      <w:r w:rsidR="00FD01F9">
        <w:rPr>
          <w:rStyle w:val="None"/>
          <w:rFonts w:ascii="Times New Roman" w:hAnsi="Times New Roman" w:cs="Times New Roman"/>
        </w:rPr>
        <w:t>, is a 25</w:t>
      </w:r>
      <w:r w:rsidRPr="002A5B56">
        <w:rPr>
          <w:rStyle w:val="None"/>
          <w:rFonts w:ascii="Times New Roman" w:hAnsi="Times New Roman" w:cs="Times New Roman"/>
        </w:rPr>
        <w:t>-</w:t>
      </w:r>
      <w:r w:rsidR="00FD01F9">
        <w:rPr>
          <w:rStyle w:val="None"/>
          <w:rFonts w:ascii="Times New Roman" w:hAnsi="Times New Roman" w:cs="Times New Roman"/>
        </w:rPr>
        <w:t xml:space="preserve">character </w:t>
      </w:r>
      <w:r w:rsidRPr="002A5B56">
        <w:rPr>
          <w:rStyle w:val="None"/>
          <w:rFonts w:ascii="Times New Roman" w:hAnsi="Times New Roman" w:cs="Times New Roman"/>
        </w:rPr>
        <w:t xml:space="preserve">orthographical system. </w:t>
      </w:r>
      <w:proofErr w:type="spellStart"/>
      <w:r w:rsidRPr="002A5B56">
        <w:rPr>
          <w:rStyle w:val="None"/>
          <w:rFonts w:ascii="Times New Roman" w:hAnsi="Times New Roman" w:cs="Times New Roman"/>
        </w:rPr>
        <w:t>Lasswitz</w:t>
      </w:r>
      <w:proofErr w:type="spellEnd"/>
      <w:r w:rsidRPr="002A5B56">
        <w:rPr>
          <w:rStyle w:val="None"/>
          <w:rFonts w:ascii="Times New Roman" w:hAnsi="Times New Roman" w:cs="Times New Roman"/>
        </w:rPr>
        <w:t xml:space="preserve"> allows for lower- and upper-case letters, ample punctuation and scientific notation, and ultimately settles on 100 symbols. </w:t>
      </w:r>
      <w:r w:rsidR="00B826D1">
        <w:rPr>
          <w:rStyle w:val="None"/>
          <w:rFonts w:ascii="Times New Roman" w:hAnsi="Times New Roman" w:cs="Times New Roman"/>
        </w:rPr>
        <w:t>T</w:t>
      </w:r>
      <w:r w:rsidRPr="002A5B56">
        <w:rPr>
          <w:rStyle w:val="None"/>
          <w:rFonts w:ascii="Times New Roman" w:hAnsi="Times New Roman" w:cs="Times New Roman"/>
        </w:rPr>
        <w:t xml:space="preserve">he temptation to tweak </w:t>
      </w:r>
      <w:r w:rsidR="00A63927">
        <w:rPr>
          <w:rStyle w:val="None"/>
          <w:rFonts w:ascii="Times New Roman" w:hAnsi="Times New Roman" w:cs="Times New Roman"/>
        </w:rPr>
        <w:t>Borges’s</w:t>
      </w:r>
      <w:r w:rsidRPr="002A5B56">
        <w:rPr>
          <w:rStyle w:val="None"/>
          <w:rFonts w:ascii="Times New Roman" w:hAnsi="Times New Roman" w:cs="Times New Roman"/>
        </w:rPr>
        <w:t xml:space="preserve"> text ever so slightly presents itself, when we realize that Theodor Wolff, also mentioned in the essay, actually did propose reducing the character set to 25 in his 1929 </w:t>
      </w:r>
      <w:r w:rsidRPr="002A5B56">
        <w:rPr>
          <w:rStyle w:val="None"/>
          <w:rFonts w:ascii="Times New Roman" w:hAnsi="Times New Roman" w:cs="Times New Roman"/>
          <w:i/>
          <w:iCs/>
        </w:rPr>
        <w:t xml:space="preserve">Der </w:t>
      </w:r>
      <w:proofErr w:type="spellStart"/>
      <w:r w:rsidRPr="002A5B56">
        <w:rPr>
          <w:rStyle w:val="None"/>
          <w:rFonts w:ascii="Times New Roman" w:hAnsi="Times New Roman" w:cs="Times New Roman"/>
          <w:i/>
          <w:iCs/>
        </w:rPr>
        <w:lastRenderedPageBreak/>
        <w:t>Wettlauf</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mit</w:t>
      </w:r>
      <w:proofErr w:type="spellEnd"/>
      <w:r w:rsidRPr="002A5B56">
        <w:rPr>
          <w:rStyle w:val="None"/>
          <w:rFonts w:ascii="Times New Roman" w:hAnsi="Times New Roman" w:cs="Times New Roman"/>
          <w:i/>
          <w:iCs/>
        </w:rPr>
        <w:t xml:space="preserve"> der </w:t>
      </w:r>
      <w:proofErr w:type="spellStart"/>
      <w:r w:rsidRPr="002A5B56">
        <w:rPr>
          <w:rStyle w:val="None"/>
          <w:rFonts w:ascii="Times New Roman" w:hAnsi="Times New Roman" w:cs="Times New Roman"/>
          <w:i/>
          <w:iCs/>
        </w:rPr>
        <w:t>Schildkröte</w:t>
      </w:r>
      <w:proofErr w:type="spellEnd"/>
      <w:r w:rsidRPr="002A5B56">
        <w:rPr>
          <w:rStyle w:val="None"/>
          <w:rFonts w:ascii="Times New Roman" w:hAnsi="Times New Roman" w:cs="Times New Roman"/>
        </w:rPr>
        <w:t>. After all, Borges first writes, “</w:t>
      </w:r>
      <w:proofErr w:type="spellStart"/>
      <w:r w:rsidRPr="002A5B56">
        <w:rPr>
          <w:rStyle w:val="None"/>
          <w:rFonts w:ascii="Times New Roman" w:hAnsi="Times New Roman" w:cs="Times New Roman"/>
        </w:rPr>
        <w:t>Lasswitz's</w:t>
      </w:r>
      <w:proofErr w:type="spellEnd"/>
      <w:r w:rsidRPr="002A5B56">
        <w:rPr>
          <w:rStyle w:val="None"/>
          <w:rFonts w:ascii="Times New Roman" w:hAnsi="Times New Roman" w:cs="Times New Roman"/>
        </w:rPr>
        <w:t xml:space="preserve"> basic idea is the same as Carroll's, but the elements of his game are the universal orthographic symbols, not the words of a language. The number of such elements […] is reduced and can be reduced even further” (“Total Library”</w:t>
      </w:r>
      <w:r w:rsidRPr="002A5B56">
        <w:rPr>
          <w:rStyle w:val="None"/>
          <w:rFonts w:ascii="Times New Roman" w:hAnsi="Times New Roman" w:cs="Times New Roman"/>
          <w:i/>
          <w:iCs/>
        </w:rPr>
        <w:t xml:space="preserve"> </w:t>
      </w:r>
      <w:r w:rsidRPr="002A5B56">
        <w:rPr>
          <w:rStyle w:val="None"/>
          <w:rFonts w:ascii="Times New Roman" w:hAnsi="Times New Roman" w:cs="Times New Roman"/>
        </w:rPr>
        <w:t xml:space="preserve">215), which seems to acknowledge that </w:t>
      </w:r>
      <w:proofErr w:type="spellStart"/>
      <w:r w:rsidRPr="002A5B56">
        <w:rPr>
          <w:rStyle w:val="None"/>
          <w:rFonts w:ascii="Times New Roman" w:hAnsi="Times New Roman" w:cs="Times New Roman"/>
        </w:rPr>
        <w:t>Lasswitz</w:t>
      </w:r>
      <w:proofErr w:type="spellEnd"/>
      <w:r w:rsidRPr="002A5B56">
        <w:rPr>
          <w:rStyle w:val="None"/>
          <w:rFonts w:ascii="Times New Roman" w:hAnsi="Times New Roman" w:cs="Times New Roman"/>
        </w:rPr>
        <w:t xml:space="preserve"> accounted for more symbols. Later in the same paragraph, though, this is contradicted by</w:t>
      </w:r>
      <w:r w:rsidR="00E700BE">
        <w:rPr>
          <w:rStyle w:val="None"/>
          <w:rFonts w:ascii="Times New Roman" w:hAnsi="Times New Roman" w:cs="Times New Roman"/>
        </w:rPr>
        <w:t xml:space="preserve"> his statement,</w:t>
      </w:r>
      <w:r w:rsidRPr="002A5B56">
        <w:rPr>
          <w:rStyle w:val="None"/>
          <w:rFonts w:ascii="Times New Roman" w:hAnsi="Times New Roman" w:cs="Times New Roman"/>
        </w:rPr>
        <w:t xml:space="preserve"> “</w:t>
      </w:r>
      <w:proofErr w:type="spellStart"/>
      <w:r w:rsidRPr="002A5B56">
        <w:rPr>
          <w:rStyle w:val="None"/>
          <w:rFonts w:ascii="Times New Roman" w:hAnsi="Times New Roman" w:cs="Times New Roman"/>
        </w:rPr>
        <w:t>Lasswitz</w:t>
      </w:r>
      <w:proofErr w:type="spellEnd"/>
      <w:r w:rsidRPr="002A5B56">
        <w:rPr>
          <w:rStyle w:val="None"/>
          <w:rFonts w:ascii="Times New Roman" w:hAnsi="Times New Roman" w:cs="Times New Roman"/>
        </w:rPr>
        <w:t xml:space="preserve"> arrives at twenty-five symbols” (215). Could he have meant to cite Wolff here? The situation is further complicated when we recognize that Wolff proposes a different 25 characters. Like Borges, he eliminates majuscules, numbers, and the despised </w:t>
      </w:r>
      <w:r w:rsidRPr="002A5B56">
        <w:rPr>
          <w:rStyle w:val="None"/>
          <w:rFonts w:ascii="Times New Roman" w:hAnsi="Times New Roman" w:cs="Times New Roman"/>
          <w:i/>
          <w:iCs/>
        </w:rPr>
        <w:t>q,</w:t>
      </w:r>
      <w:r w:rsidRPr="002A5B56">
        <w:rPr>
          <w:rStyle w:val="None"/>
          <w:rFonts w:ascii="Times New Roman" w:hAnsi="Times New Roman" w:cs="Times New Roman"/>
        </w:rPr>
        <w:t xml:space="preserve"> but proposes restoring the classical union of </w:t>
      </w:r>
      <w:proofErr w:type="spellStart"/>
      <w:r w:rsidRPr="002A5B56">
        <w:rPr>
          <w:rStyle w:val="None"/>
          <w:rFonts w:ascii="Times New Roman" w:hAnsi="Times New Roman" w:cs="Times New Roman"/>
          <w:i/>
          <w:iCs/>
        </w:rPr>
        <w:t>i</w:t>
      </w:r>
      <w:proofErr w:type="spellEnd"/>
      <w:r w:rsidRPr="002A5B56">
        <w:rPr>
          <w:rStyle w:val="None"/>
          <w:rFonts w:ascii="Times New Roman" w:hAnsi="Times New Roman" w:cs="Times New Roman"/>
        </w:rPr>
        <w:t xml:space="preserve"> and </w:t>
      </w:r>
      <w:r w:rsidRPr="002A5B56">
        <w:rPr>
          <w:rStyle w:val="None"/>
          <w:rFonts w:ascii="Times New Roman" w:hAnsi="Times New Roman" w:cs="Times New Roman"/>
          <w:i/>
          <w:iCs/>
        </w:rPr>
        <w:t xml:space="preserve">j, </w:t>
      </w:r>
      <w:r w:rsidRPr="002A5B56">
        <w:rPr>
          <w:rStyle w:val="None"/>
          <w:rFonts w:ascii="Times New Roman" w:hAnsi="Times New Roman" w:cs="Times New Roman"/>
        </w:rPr>
        <w:t xml:space="preserve">replacing </w:t>
      </w:r>
      <w:r w:rsidRPr="002A5B56">
        <w:rPr>
          <w:rStyle w:val="None"/>
          <w:rFonts w:ascii="Times New Roman" w:hAnsi="Times New Roman" w:cs="Times New Roman"/>
          <w:i/>
          <w:iCs/>
        </w:rPr>
        <w:t>w</w:t>
      </w:r>
      <w:r w:rsidRPr="002A5B56">
        <w:rPr>
          <w:rStyle w:val="None"/>
          <w:rFonts w:ascii="Times New Roman" w:hAnsi="Times New Roman" w:cs="Times New Roman"/>
        </w:rPr>
        <w:t xml:space="preserve"> with </w:t>
      </w:r>
      <w:proofErr w:type="spellStart"/>
      <w:r w:rsidRPr="002A5B56">
        <w:rPr>
          <w:rStyle w:val="None"/>
          <w:rFonts w:ascii="Times New Roman" w:hAnsi="Times New Roman" w:cs="Times New Roman"/>
          <w:i/>
          <w:iCs/>
        </w:rPr>
        <w:t>uu</w:t>
      </w:r>
      <w:proofErr w:type="spellEnd"/>
      <w:r w:rsidRPr="002A5B56">
        <w:rPr>
          <w:rStyle w:val="None"/>
          <w:rFonts w:ascii="Times New Roman" w:hAnsi="Times New Roman" w:cs="Times New Roman"/>
          <w:i/>
          <w:iCs/>
        </w:rPr>
        <w:t xml:space="preserve"> </w:t>
      </w:r>
      <w:r w:rsidRPr="002A5B56">
        <w:rPr>
          <w:rStyle w:val="None"/>
          <w:rFonts w:ascii="Times New Roman" w:hAnsi="Times New Roman" w:cs="Times New Roman"/>
        </w:rPr>
        <w:t xml:space="preserve">(corresponding to its name) or </w:t>
      </w:r>
      <w:proofErr w:type="spellStart"/>
      <w:r w:rsidRPr="002A5B56">
        <w:rPr>
          <w:rStyle w:val="None"/>
          <w:rFonts w:ascii="Times New Roman" w:hAnsi="Times New Roman" w:cs="Times New Roman"/>
          <w:i/>
          <w:iCs/>
        </w:rPr>
        <w:t>vv</w:t>
      </w:r>
      <w:proofErr w:type="spellEnd"/>
      <w:r w:rsidRPr="002A5B56">
        <w:rPr>
          <w:rStyle w:val="None"/>
          <w:rFonts w:ascii="Times New Roman" w:hAnsi="Times New Roman" w:cs="Times New Roman"/>
          <w:i/>
          <w:iCs/>
        </w:rPr>
        <w:t xml:space="preserve"> </w:t>
      </w:r>
      <w:r w:rsidRPr="002A5B56">
        <w:rPr>
          <w:rStyle w:val="None"/>
          <w:rFonts w:ascii="Times New Roman" w:hAnsi="Times New Roman" w:cs="Times New Roman"/>
        </w:rPr>
        <w:t xml:space="preserve">(corresponding to its shape), and declares z an abbreviation of </w:t>
      </w:r>
      <w:proofErr w:type="spellStart"/>
      <w:r w:rsidRPr="002A5B56">
        <w:rPr>
          <w:rStyle w:val="None"/>
          <w:rFonts w:ascii="Times New Roman" w:hAnsi="Times New Roman" w:cs="Times New Roman"/>
          <w:i/>
          <w:iCs/>
        </w:rPr>
        <w:t>sc</w:t>
      </w:r>
      <w:proofErr w:type="spellEnd"/>
      <w:r w:rsidRPr="002A5B56">
        <w:rPr>
          <w:rStyle w:val="None"/>
          <w:rFonts w:ascii="Times New Roman" w:hAnsi="Times New Roman" w:cs="Times New Roman"/>
        </w:rPr>
        <w:t xml:space="preserve"> or </w:t>
      </w:r>
      <w:r w:rsidRPr="002A5B56">
        <w:rPr>
          <w:rStyle w:val="None"/>
          <w:rFonts w:ascii="Times New Roman" w:hAnsi="Times New Roman" w:cs="Times New Roman"/>
          <w:i/>
          <w:iCs/>
        </w:rPr>
        <w:t xml:space="preserve">cs </w:t>
      </w:r>
      <w:r w:rsidRPr="002A5B56">
        <w:rPr>
          <w:rStyle w:val="None"/>
          <w:rFonts w:ascii="Times New Roman" w:hAnsi="Times New Roman" w:cs="Times New Roman"/>
        </w:rPr>
        <w:t xml:space="preserve">(Ley 246). No matter how we attempt to reconfigure </w:t>
      </w:r>
      <w:r w:rsidR="00A63927">
        <w:rPr>
          <w:rStyle w:val="None"/>
          <w:rFonts w:ascii="Times New Roman" w:hAnsi="Times New Roman" w:cs="Times New Roman"/>
        </w:rPr>
        <w:t>Borges’s</w:t>
      </w:r>
      <w:r w:rsidRPr="002A5B56">
        <w:rPr>
          <w:rStyle w:val="None"/>
          <w:rFonts w:ascii="Times New Roman" w:hAnsi="Times New Roman" w:cs="Times New Roman"/>
        </w:rPr>
        <w:t xml:space="preserve"> text, we have to acknowledge some perfidy or betrayal in his attempts to disclaim authorship and give credit to his predecessors.</w:t>
      </w:r>
      <w:r w:rsidR="00B826D1">
        <w:rPr>
          <w:rStyle w:val="None"/>
          <w:rFonts w:ascii="Times New Roman" w:hAnsi="Times New Roman" w:cs="Times New Roman"/>
        </w:rPr>
        <w:t xml:space="preserve"> This play of novelty and repetition, invention and discovery, always disguising and dissimulating one as the other, is one way of understanding the function of</w:t>
      </w:r>
      <w:r w:rsidR="008B38B5">
        <w:rPr>
          <w:rStyle w:val="None"/>
          <w:rFonts w:ascii="Times New Roman" w:hAnsi="Times New Roman" w:cs="Times New Roman"/>
        </w:rPr>
        <w:t xml:space="preserve"> infidelity and </w:t>
      </w:r>
      <w:r w:rsidR="00B826D1">
        <w:rPr>
          <w:rStyle w:val="None"/>
          <w:rFonts w:ascii="Times New Roman" w:hAnsi="Times New Roman" w:cs="Times New Roman"/>
        </w:rPr>
        <w:t xml:space="preserve">irony in </w:t>
      </w:r>
      <w:r w:rsidR="008B38B5">
        <w:rPr>
          <w:rStyle w:val="None"/>
          <w:rFonts w:ascii="Times New Roman" w:hAnsi="Times New Roman" w:cs="Times New Roman"/>
        </w:rPr>
        <w:t xml:space="preserve">Borges’s writings on the universal library, and in his </w:t>
      </w:r>
      <w:r w:rsidR="00B826D1">
        <w:rPr>
          <w:rStyle w:val="None"/>
          <w:rFonts w:ascii="Times New Roman" w:hAnsi="Times New Roman" w:cs="Times New Roman"/>
        </w:rPr>
        <w:t>corpus as a whole.</w:t>
      </w:r>
    </w:p>
    <w:p w14:paraId="360EFA47" w14:textId="77777777" w:rsidR="002A5B56" w:rsidRPr="002A5B56" w:rsidRDefault="002A5B56" w:rsidP="002A5B56">
      <w:pPr>
        <w:spacing w:line="480" w:lineRule="auto"/>
        <w:rPr>
          <w:rStyle w:val="None"/>
          <w:rFonts w:ascii="Times New Roman" w:hAnsi="Times New Roman" w:cs="Times New Roman"/>
        </w:rPr>
      </w:pPr>
      <w:r w:rsidRPr="002A5B56">
        <w:rPr>
          <w:rStyle w:val="None"/>
          <w:rFonts w:ascii="Times New Roman" w:hAnsi="Times New Roman" w:cs="Times New Roman"/>
        </w:rPr>
        <w:tab/>
        <w:t xml:space="preserve">The situation becomes even more complex when we turn to the text of the short story. Before we reach its first sentence, the title confronts us with capital letters, and the epigraph not only contains numbers but speaks of another character set altogether. “By this art you may contemplate the variation of the 23 letters” refers to the classical Latin alphabet. The story goes on to use several of the excluded capital letters, digits, punctuation marks, and diacritics. A note from the “editor” offers little help: </w:t>
      </w:r>
    </w:p>
    <w:p w14:paraId="77A45014" w14:textId="77777777" w:rsidR="002A5B56" w:rsidRPr="002A5B56" w:rsidRDefault="002A5B56" w:rsidP="002A5B56">
      <w:pPr>
        <w:ind w:left="785"/>
        <w:rPr>
          <w:rStyle w:val="None"/>
          <w:rFonts w:ascii="Times New Roman" w:hAnsi="Times New Roman" w:cs="Times New Roman"/>
        </w:rPr>
      </w:pPr>
      <w:r w:rsidRPr="002A5B56">
        <w:rPr>
          <w:rStyle w:val="None"/>
          <w:rFonts w:ascii="Times New Roman" w:hAnsi="Times New Roman" w:cs="Times New Roman"/>
        </w:rPr>
        <w:t xml:space="preserve">The original manuscript does not contain digits or capital letters. The punctuation has been limited to the comma and the period. These two signs, the space, and the twenty-two letters of the alphabet are the twenty-five symbols considered sufficient by this </w:t>
      </w:r>
      <w:r w:rsidRPr="002A5B56">
        <w:rPr>
          <w:rStyle w:val="None"/>
          <w:rFonts w:ascii="Times New Roman" w:hAnsi="Times New Roman" w:cs="Times New Roman"/>
        </w:rPr>
        <w:lastRenderedPageBreak/>
        <w:t>unknown author [</w:t>
      </w:r>
      <w:r w:rsidRPr="002A5B56">
        <w:rPr>
          <w:rStyle w:val="None"/>
          <w:rFonts w:ascii="Times New Roman" w:hAnsi="Times New Roman" w:cs="Times New Roman"/>
          <w:i/>
          <w:iCs/>
        </w:rPr>
        <w:t xml:space="preserve">son los </w:t>
      </w:r>
      <w:proofErr w:type="spellStart"/>
      <w:r w:rsidRPr="002A5B56">
        <w:rPr>
          <w:rStyle w:val="None"/>
          <w:rFonts w:ascii="Times New Roman" w:hAnsi="Times New Roman" w:cs="Times New Roman"/>
          <w:i/>
          <w:iCs/>
        </w:rPr>
        <w:t>veinticinco</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símbolos</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suficientes</w:t>
      </w:r>
      <w:proofErr w:type="spellEnd"/>
      <w:r w:rsidRPr="002A5B56">
        <w:rPr>
          <w:rStyle w:val="None"/>
          <w:rFonts w:ascii="Times New Roman" w:hAnsi="Times New Roman" w:cs="Times New Roman"/>
          <w:i/>
          <w:iCs/>
        </w:rPr>
        <w:t xml:space="preserve"> que </w:t>
      </w:r>
      <w:proofErr w:type="spellStart"/>
      <w:r w:rsidRPr="002A5B56">
        <w:rPr>
          <w:rStyle w:val="None"/>
          <w:rFonts w:ascii="Times New Roman" w:hAnsi="Times New Roman" w:cs="Times New Roman"/>
          <w:i/>
          <w:iCs/>
        </w:rPr>
        <w:t>enumera</w:t>
      </w:r>
      <w:proofErr w:type="spellEnd"/>
      <w:r w:rsidRPr="002A5B56">
        <w:rPr>
          <w:rStyle w:val="None"/>
          <w:rFonts w:ascii="Times New Roman" w:hAnsi="Times New Roman" w:cs="Times New Roman"/>
          <w:i/>
          <w:iCs/>
        </w:rPr>
        <w:t xml:space="preserve"> el </w:t>
      </w:r>
      <w:proofErr w:type="spellStart"/>
      <w:r w:rsidRPr="002A5B56">
        <w:rPr>
          <w:rStyle w:val="None"/>
          <w:rFonts w:ascii="Times New Roman" w:hAnsi="Times New Roman" w:cs="Times New Roman"/>
          <w:i/>
          <w:iCs/>
        </w:rPr>
        <w:t>desconocido</w:t>
      </w:r>
      <w:proofErr w:type="spellEnd"/>
      <w:r w:rsidRPr="002A5B56">
        <w:rPr>
          <w:rStyle w:val="None"/>
          <w:rFonts w:ascii="Times New Roman" w:hAnsi="Times New Roman" w:cs="Times New Roman"/>
        </w:rPr>
        <w:t>]. (</w:t>
      </w:r>
      <w:r w:rsidRPr="002A5B56">
        <w:rPr>
          <w:rStyle w:val="None"/>
          <w:rFonts w:ascii="Times New Roman" w:hAnsi="Times New Roman" w:cs="Times New Roman"/>
          <w:i/>
          <w:iCs/>
        </w:rPr>
        <w:t>Editor’s Note.)</w:t>
      </w:r>
      <w:r w:rsidRPr="002A5B56">
        <w:rPr>
          <w:rStyle w:val="None"/>
          <w:rFonts w:ascii="Times New Roman" w:hAnsi="Times New Roman" w:cs="Times New Roman"/>
        </w:rPr>
        <w:t xml:space="preserve"> (</w:t>
      </w:r>
      <w:r w:rsidRPr="002A5B56">
        <w:rPr>
          <w:rStyle w:val="None"/>
          <w:rFonts w:ascii="Times New Roman" w:hAnsi="Times New Roman" w:cs="Times New Roman"/>
          <w:i/>
          <w:iCs/>
        </w:rPr>
        <w:t xml:space="preserve">Labyrinths </w:t>
      </w:r>
      <w:r w:rsidRPr="002A5B56">
        <w:rPr>
          <w:rStyle w:val="None"/>
          <w:rFonts w:ascii="Times New Roman" w:hAnsi="Times New Roman" w:cs="Times New Roman"/>
        </w:rPr>
        <w:t xml:space="preserve">53). </w:t>
      </w:r>
    </w:p>
    <w:p w14:paraId="75A10ABF" w14:textId="77777777" w:rsidR="002A5B56" w:rsidRPr="002A5B56" w:rsidRDefault="002A5B56" w:rsidP="002A5B56">
      <w:pPr>
        <w:ind w:left="785"/>
        <w:rPr>
          <w:rStyle w:val="None"/>
          <w:rFonts w:ascii="Times New Roman" w:hAnsi="Times New Roman" w:cs="Times New Roman"/>
        </w:rPr>
      </w:pPr>
    </w:p>
    <w:p w14:paraId="3E26286A" w14:textId="77777777" w:rsidR="002A5B56" w:rsidRPr="002A5B56" w:rsidRDefault="007B0D06" w:rsidP="002A5B56">
      <w:pPr>
        <w:spacing w:line="480" w:lineRule="auto"/>
        <w:rPr>
          <w:rStyle w:val="None"/>
          <w:rFonts w:ascii="Times New Roman" w:hAnsi="Times New Roman" w:cs="Times New Roman"/>
        </w:rPr>
      </w:pPr>
      <w:r>
        <w:rPr>
          <w:rStyle w:val="None"/>
          <w:rFonts w:ascii="Times New Roman" w:hAnsi="Times New Roman" w:cs="Times New Roman"/>
        </w:rPr>
        <w:t>The apparition of this editor</w:t>
      </w:r>
      <w:r w:rsidR="002A5B56" w:rsidRPr="002A5B56">
        <w:rPr>
          <w:rStyle w:val="None"/>
          <w:rFonts w:ascii="Times New Roman" w:hAnsi="Times New Roman" w:cs="Times New Roman"/>
        </w:rPr>
        <w:t xml:space="preserve"> </w:t>
      </w:r>
      <w:r>
        <w:rPr>
          <w:rStyle w:val="None"/>
          <w:rFonts w:ascii="Times New Roman" w:hAnsi="Times New Roman" w:cs="Times New Roman"/>
        </w:rPr>
        <w:t>creates another division within the text</w:t>
      </w:r>
      <w:r w:rsidR="003E51CB">
        <w:rPr>
          <w:rStyle w:val="None"/>
          <w:rFonts w:ascii="Times New Roman" w:hAnsi="Times New Roman" w:cs="Times New Roman"/>
        </w:rPr>
        <w:t xml:space="preserve">: </w:t>
      </w:r>
      <w:r>
        <w:rPr>
          <w:rStyle w:val="None"/>
          <w:rFonts w:ascii="Times New Roman" w:hAnsi="Times New Roman" w:cs="Times New Roman"/>
        </w:rPr>
        <w:t xml:space="preserve">everything we read is the redaction of an absent original. </w:t>
      </w:r>
      <w:r w:rsidR="00590A92">
        <w:rPr>
          <w:rStyle w:val="None"/>
          <w:rFonts w:ascii="Times New Roman" w:hAnsi="Times New Roman" w:cs="Times New Roman"/>
        </w:rPr>
        <w:t>And t</w:t>
      </w:r>
      <w:r w:rsidR="000E4EE5">
        <w:rPr>
          <w:rStyle w:val="None"/>
          <w:rFonts w:ascii="Times New Roman" w:hAnsi="Times New Roman" w:cs="Times New Roman"/>
        </w:rPr>
        <w:t>he editor’s</w:t>
      </w:r>
      <w:r>
        <w:rPr>
          <w:rStyle w:val="None"/>
          <w:rFonts w:ascii="Times New Roman" w:hAnsi="Times New Roman" w:cs="Times New Roman"/>
        </w:rPr>
        <w:t xml:space="preserve"> liminal position—</w:t>
      </w:r>
      <w:r w:rsidR="002A5B56" w:rsidRPr="002A5B56">
        <w:rPr>
          <w:rStyle w:val="None"/>
          <w:rFonts w:ascii="Times New Roman" w:hAnsi="Times New Roman" w:cs="Times New Roman"/>
        </w:rPr>
        <w:t xml:space="preserve">How have they come by this manuscript if they are outside the world of the library, or how have they gotten it to us if they are </w:t>
      </w:r>
      <w:proofErr w:type="gramStart"/>
      <w:r w:rsidR="002A5B56" w:rsidRPr="002A5B56">
        <w:rPr>
          <w:rStyle w:val="None"/>
          <w:rFonts w:ascii="Times New Roman" w:hAnsi="Times New Roman" w:cs="Times New Roman"/>
        </w:rPr>
        <w:t>within?</w:t>
      </w:r>
      <w:r>
        <w:rPr>
          <w:rStyle w:val="None"/>
          <w:rFonts w:ascii="Times New Roman" w:hAnsi="Times New Roman" w:cs="Times New Roman"/>
        </w:rPr>
        <w:t>—</w:t>
      </w:r>
      <w:proofErr w:type="gramEnd"/>
      <w:r>
        <w:rPr>
          <w:rStyle w:val="None"/>
          <w:rFonts w:ascii="Times New Roman" w:hAnsi="Times New Roman" w:cs="Times New Roman"/>
        </w:rPr>
        <w:t>add</w:t>
      </w:r>
      <w:r w:rsidR="000E4EE5">
        <w:rPr>
          <w:rStyle w:val="None"/>
          <w:rFonts w:ascii="Times New Roman" w:hAnsi="Times New Roman" w:cs="Times New Roman"/>
        </w:rPr>
        <w:t>s</w:t>
      </w:r>
      <w:r>
        <w:rPr>
          <w:rStyle w:val="None"/>
          <w:rFonts w:ascii="Times New Roman" w:hAnsi="Times New Roman" w:cs="Times New Roman"/>
        </w:rPr>
        <w:t xml:space="preserve"> another layer between us and the ever more elusive author.</w:t>
      </w:r>
      <w:r w:rsidR="002A5B56" w:rsidRPr="002A5B56">
        <w:rPr>
          <w:rStyle w:val="None"/>
          <w:rFonts w:ascii="Times New Roman" w:hAnsi="Times New Roman" w:cs="Times New Roman"/>
        </w:rPr>
        <w:t xml:space="preserve"> Their mention of the “twenty-two letters of the alphabet” and of the “</w:t>
      </w:r>
      <w:proofErr w:type="spellStart"/>
      <w:r w:rsidR="002A5B56" w:rsidRPr="002A5B56">
        <w:rPr>
          <w:rStyle w:val="None"/>
          <w:rFonts w:ascii="Times New Roman" w:hAnsi="Times New Roman" w:cs="Times New Roman"/>
          <w:i/>
          <w:iCs/>
        </w:rPr>
        <w:t>símbolos</w:t>
      </w:r>
      <w:proofErr w:type="spellEnd"/>
      <w:r w:rsidR="002A5B56" w:rsidRPr="002A5B56">
        <w:rPr>
          <w:rStyle w:val="None"/>
          <w:rFonts w:ascii="Times New Roman" w:hAnsi="Times New Roman" w:cs="Times New Roman"/>
          <w:i/>
          <w:iCs/>
        </w:rPr>
        <w:t xml:space="preserve"> </w:t>
      </w:r>
      <w:proofErr w:type="spellStart"/>
      <w:r w:rsidR="002A5B56" w:rsidRPr="002A5B56">
        <w:rPr>
          <w:rStyle w:val="None"/>
          <w:rFonts w:ascii="Times New Roman" w:hAnsi="Times New Roman" w:cs="Times New Roman"/>
          <w:i/>
          <w:iCs/>
        </w:rPr>
        <w:t>suficientes</w:t>
      </w:r>
      <w:proofErr w:type="spellEnd"/>
      <w:r w:rsidR="002A5B56" w:rsidRPr="002A5B56">
        <w:rPr>
          <w:rStyle w:val="None"/>
          <w:rFonts w:ascii="Times New Roman" w:hAnsi="Times New Roman" w:cs="Times New Roman"/>
        </w:rPr>
        <w:t xml:space="preserve">” suggests that they are within </w:t>
      </w:r>
      <w:r w:rsidR="00785244">
        <w:rPr>
          <w:rStyle w:val="None"/>
          <w:rFonts w:ascii="Times New Roman" w:hAnsi="Times New Roman" w:cs="Times New Roman"/>
        </w:rPr>
        <w:t>the library’s</w:t>
      </w:r>
      <w:r w:rsidR="002A5B56" w:rsidRPr="002A5B56">
        <w:rPr>
          <w:rStyle w:val="None"/>
          <w:rFonts w:ascii="Times New Roman" w:hAnsi="Times New Roman" w:cs="Times New Roman"/>
        </w:rPr>
        <w:t xml:space="preserve"> world and its ideology (but then, how do they even know of majuscules and digits?). Notice that Irby has taken the potentially unfaithful step of attributing the idea of sufficiency to the narrator. Di Giovanni does the same (“found to be sufficient by the unknown author”), Hurley is closer to the original (“sufficient symbols that our unknown author is referring to”), and Kerrigan is as usual the only one </w:t>
      </w:r>
      <w:r w:rsidR="00590A92">
        <w:rPr>
          <w:rStyle w:val="None"/>
          <w:rFonts w:ascii="Times New Roman" w:hAnsi="Times New Roman" w:cs="Times New Roman"/>
        </w:rPr>
        <w:t>who offers</w:t>
      </w:r>
      <w:r w:rsidR="002A5B56" w:rsidRPr="002A5B56">
        <w:rPr>
          <w:rStyle w:val="None"/>
          <w:rFonts w:ascii="Times New Roman" w:hAnsi="Times New Roman" w:cs="Times New Roman"/>
        </w:rPr>
        <w:t xml:space="preserve"> a literal translation (“sufficient symbols enumerated by the unknown author”).</w:t>
      </w:r>
      <w:r w:rsidR="00DE7E4B">
        <w:rPr>
          <w:rStyle w:val="FootnoteReference"/>
          <w:rFonts w:ascii="Times New Roman" w:hAnsi="Times New Roman" w:cs="Times New Roman"/>
        </w:rPr>
        <w:footnoteReference w:id="6"/>
      </w:r>
      <w:r w:rsidR="002A5B56" w:rsidRPr="002A5B56">
        <w:rPr>
          <w:rStyle w:val="None"/>
          <w:rFonts w:ascii="Times New Roman" w:hAnsi="Times New Roman" w:cs="Times New Roman"/>
        </w:rPr>
        <w:t xml:space="preserve"> The irony inheren</w:t>
      </w:r>
      <w:r w:rsidR="00F8276F">
        <w:rPr>
          <w:rStyle w:val="None"/>
          <w:rFonts w:ascii="Times New Roman" w:hAnsi="Times New Roman" w:cs="Times New Roman"/>
        </w:rPr>
        <w:t>t in this story, which claims 25</w:t>
      </w:r>
      <w:r w:rsidR="002A5B56" w:rsidRPr="002A5B56">
        <w:rPr>
          <w:rStyle w:val="None"/>
          <w:rFonts w:ascii="Times New Roman" w:hAnsi="Times New Roman" w:cs="Times New Roman"/>
        </w:rPr>
        <w:t xml:space="preserve"> symbols should be enough to represent all possible language while simultaneously </w:t>
      </w:r>
      <w:r w:rsidR="003E51CB">
        <w:rPr>
          <w:rStyle w:val="None"/>
          <w:rFonts w:ascii="Times New Roman" w:hAnsi="Times New Roman" w:cs="Times New Roman"/>
        </w:rPr>
        <w:t>demonstrating</w:t>
      </w:r>
      <w:r w:rsidR="002A5B56" w:rsidRPr="002A5B56">
        <w:rPr>
          <w:rStyle w:val="None"/>
          <w:rFonts w:ascii="Times New Roman" w:hAnsi="Times New Roman" w:cs="Times New Roman"/>
        </w:rPr>
        <w:t xml:space="preserve"> they are insufficient to express this </w:t>
      </w:r>
      <w:r w:rsidR="00C84A17">
        <w:rPr>
          <w:rStyle w:val="None"/>
          <w:rFonts w:ascii="Times New Roman" w:hAnsi="Times New Roman" w:cs="Times New Roman"/>
        </w:rPr>
        <w:t>short story</w:t>
      </w:r>
      <w:r w:rsidR="002A5B56" w:rsidRPr="002A5B56">
        <w:rPr>
          <w:rStyle w:val="None"/>
          <w:rFonts w:ascii="Times New Roman" w:hAnsi="Times New Roman" w:cs="Times New Roman"/>
        </w:rPr>
        <w:t xml:space="preserve">, refutes any attribution of this idea of sufficiency to Borges. It rather seems that he has, as is customary, multiplied the layers and masks, creating a liminal figure who seems to bring Borges one step closer to the story’s inside, while in truth shifting him yet one layer further away. And what to make of the “Borges” who signed a work of </w:t>
      </w:r>
      <w:r w:rsidR="0007445E">
        <w:rPr>
          <w:rStyle w:val="None"/>
          <w:rFonts w:ascii="Times New Roman" w:hAnsi="Times New Roman" w:cs="Times New Roman"/>
        </w:rPr>
        <w:t>“</w:t>
      </w:r>
      <w:r w:rsidR="002A5B56" w:rsidRPr="002A5B56">
        <w:rPr>
          <w:rStyle w:val="None"/>
          <w:rFonts w:ascii="Times New Roman" w:hAnsi="Times New Roman" w:cs="Times New Roman"/>
        </w:rPr>
        <w:t>non-fiction</w:t>
      </w:r>
      <w:r w:rsidR="0007445E">
        <w:rPr>
          <w:rStyle w:val="None"/>
          <w:rFonts w:ascii="Times New Roman" w:hAnsi="Times New Roman" w:cs="Times New Roman"/>
        </w:rPr>
        <w:t>”</w:t>
      </w:r>
      <w:r w:rsidR="002A5B56" w:rsidRPr="002A5B56">
        <w:rPr>
          <w:rStyle w:val="None"/>
          <w:rFonts w:ascii="Times New Roman" w:hAnsi="Times New Roman" w:cs="Times New Roman"/>
        </w:rPr>
        <w:t xml:space="preserve"> two years earlier claiming the same idea that this fiction refutes or gently ironizes? Fictionalizing a seemingly non-fictional discourse while developing the truth in fiction is precisely the sort of deconstruction definitive of </w:t>
      </w:r>
      <w:r w:rsidR="00A63927">
        <w:rPr>
          <w:rStyle w:val="None"/>
          <w:rFonts w:ascii="Times New Roman" w:hAnsi="Times New Roman" w:cs="Times New Roman"/>
        </w:rPr>
        <w:t>Borges’s</w:t>
      </w:r>
      <w:r w:rsidR="002A5B56" w:rsidRPr="002A5B56">
        <w:rPr>
          <w:rStyle w:val="None"/>
          <w:rFonts w:ascii="Times New Roman" w:hAnsi="Times New Roman" w:cs="Times New Roman"/>
        </w:rPr>
        <w:t xml:space="preserve"> style. </w:t>
      </w:r>
    </w:p>
    <w:p w14:paraId="58E93B0E" w14:textId="77777777" w:rsidR="002A5B56" w:rsidRPr="002A5B56" w:rsidRDefault="002A5B56" w:rsidP="002A5B56">
      <w:pPr>
        <w:spacing w:line="480" w:lineRule="auto"/>
        <w:rPr>
          <w:rStyle w:val="None"/>
          <w:rFonts w:ascii="Times New Roman" w:hAnsi="Times New Roman" w:cs="Times New Roman"/>
        </w:rPr>
      </w:pPr>
      <w:r w:rsidRPr="002A5B56">
        <w:rPr>
          <w:rStyle w:val="None"/>
          <w:rFonts w:ascii="Times New Roman" w:hAnsi="Times New Roman" w:cs="Times New Roman"/>
        </w:rPr>
        <w:lastRenderedPageBreak/>
        <w:tab/>
        <w:t>The forbidden letters that appear within the library’s texts, or at least on their spines (</w:t>
      </w:r>
      <w:proofErr w:type="spellStart"/>
      <w:r w:rsidRPr="002A5B56">
        <w:rPr>
          <w:rStyle w:val="None"/>
          <w:rFonts w:ascii="Times New Roman" w:hAnsi="Times New Roman" w:cs="Times New Roman"/>
          <w:i/>
          <w:iCs/>
        </w:rPr>
        <w:t>dorso</w:t>
      </w:r>
      <w:proofErr w:type="spellEnd"/>
      <w:r w:rsidRPr="002A5B56">
        <w:rPr>
          <w:rStyle w:val="None"/>
          <w:rFonts w:ascii="Times New Roman" w:hAnsi="Times New Roman" w:cs="Times New Roman"/>
          <w:i/>
          <w:iCs/>
        </w:rPr>
        <w:t>—</w:t>
      </w:r>
      <w:r w:rsidRPr="002A5B56">
        <w:rPr>
          <w:rStyle w:val="None"/>
          <w:rFonts w:ascii="Times New Roman" w:hAnsi="Times New Roman" w:cs="Times New Roman"/>
        </w:rPr>
        <w:t xml:space="preserve">not, as Hurley would have it, their front covers), leave us with the most to ponder. It’s easy to dismiss the editor’s addition of capital letters in </w:t>
      </w:r>
      <w:proofErr w:type="spellStart"/>
      <w:r w:rsidRPr="002A5B56">
        <w:rPr>
          <w:rStyle w:val="None"/>
          <w:rFonts w:ascii="Times New Roman" w:hAnsi="Times New Roman" w:cs="Times New Roman"/>
          <w:i/>
          <w:iCs/>
        </w:rPr>
        <w:t>Trueno</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peinado</w:t>
      </w:r>
      <w:proofErr w:type="spellEnd"/>
      <w:r w:rsidRPr="002A5B56">
        <w:rPr>
          <w:rStyle w:val="None"/>
          <w:rFonts w:ascii="Times New Roman" w:hAnsi="Times New Roman" w:cs="Times New Roman"/>
        </w:rPr>
        <w:t xml:space="preserve"> and </w:t>
      </w:r>
      <w:r w:rsidRPr="002A5B56">
        <w:rPr>
          <w:rStyle w:val="None"/>
          <w:rFonts w:ascii="Times New Roman" w:hAnsi="Times New Roman" w:cs="Times New Roman"/>
          <w:i/>
          <w:iCs/>
        </w:rPr>
        <w:t xml:space="preserve">El </w:t>
      </w:r>
      <w:proofErr w:type="spellStart"/>
      <w:r w:rsidRPr="002A5B56">
        <w:rPr>
          <w:rStyle w:val="None"/>
          <w:rFonts w:ascii="Times New Roman" w:hAnsi="Times New Roman" w:cs="Times New Roman"/>
          <w:i/>
          <w:iCs/>
        </w:rPr>
        <w:t>calambre</w:t>
      </w:r>
      <w:proofErr w:type="spellEnd"/>
      <w:r w:rsidRPr="002A5B56">
        <w:rPr>
          <w:rStyle w:val="None"/>
          <w:rFonts w:ascii="Times New Roman" w:hAnsi="Times New Roman" w:cs="Times New Roman"/>
          <w:i/>
          <w:iCs/>
        </w:rPr>
        <w:t xml:space="preserve"> de </w:t>
      </w:r>
      <w:proofErr w:type="spellStart"/>
      <w:r w:rsidRPr="002A5B56">
        <w:rPr>
          <w:rStyle w:val="None"/>
          <w:rFonts w:ascii="Times New Roman" w:hAnsi="Times New Roman" w:cs="Times New Roman"/>
          <w:i/>
          <w:iCs/>
        </w:rPr>
        <w:t>yeso</w:t>
      </w:r>
      <w:proofErr w:type="spellEnd"/>
      <w:r w:rsidRPr="002A5B56">
        <w:rPr>
          <w:rStyle w:val="None"/>
          <w:rFonts w:ascii="Times New Roman" w:hAnsi="Times New Roman" w:cs="Times New Roman"/>
          <w:i/>
          <w:iCs/>
        </w:rPr>
        <w:t xml:space="preserve"> </w:t>
      </w:r>
      <w:r w:rsidRPr="002A5B56">
        <w:rPr>
          <w:rStyle w:val="None"/>
          <w:rFonts w:ascii="Times New Roman" w:hAnsi="Times New Roman" w:cs="Times New Roman"/>
        </w:rPr>
        <w:t>by mentally inse</w:t>
      </w:r>
      <w:r w:rsidR="003E51CB">
        <w:rPr>
          <w:rStyle w:val="None"/>
          <w:rFonts w:ascii="Times New Roman" w:hAnsi="Times New Roman" w:cs="Times New Roman"/>
        </w:rPr>
        <w:t>rting the lower-</w:t>
      </w:r>
      <w:r w:rsidRPr="002A5B56">
        <w:rPr>
          <w:rStyle w:val="None"/>
          <w:rFonts w:ascii="Times New Roman" w:hAnsi="Times New Roman" w:cs="Times New Roman"/>
        </w:rPr>
        <w:t xml:space="preserve">case letter, but what to make of </w:t>
      </w:r>
      <w:proofErr w:type="spellStart"/>
      <w:r w:rsidRPr="002A5B56">
        <w:rPr>
          <w:rStyle w:val="None"/>
          <w:rFonts w:ascii="Times New Roman" w:hAnsi="Times New Roman" w:cs="Times New Roman"/>
          <w:i/>
          <w:iCs/>
        </w:rPr>
        <w:t>Axaxaxas</w:t>
      </w:r>
      <w:proofErr w:type="spellEnd"/>
      <w:r w:rsidRPr="002A5B56">
        <w:rPr>
          <w:rStyle w:val="None"/>
          <w:rFonts w:ascii="Times New Roman" w:hAnsi="Times New Roman" w:cs="Times New Roman"/>
          <w:i/>
          <w:iCs/>
        </w:rPr>
        <w:t xml:space="preserve"> </w:t>
      </w:r>
      <w:proofErr w:type="spellStart"/>
      <w:r w:rsidRPr="002A5B56">
        <w:rPr>
          <w:rStyle w:val="None"/>
          <w:rFonts w:ascii="Times New Roman" w:hAnsi="Times New Roman" w:cs="Times New Roman"/>
          <w:i/>
          <w:iCs/>
        </w:rPr>
        <w:t>mlö</w:t>
      </w:r>
      <w:proofErr w:type="spellEnd"/>
      <w:r w:rsidRPr="002A5B56">
        <w:rPr>
          <w:rStyle w:val="None"/>
          <w:rFonts w:ascii="Times New Roman" w:hAnsi="Times New Roman" w:cs="Times New Roman"/>
          <w:i/>
          <w:iCs/>
        </w:rPr>
        <w:t xml:space="preserve">? </w:t>
      </w:r>
      <w:r w:rsidR="0007445E">
        <w:rPr>
          <w:rStyle w:val="None"/>
          <w:rFonts w:ascii="Times New Roman" w:hAnsi="Times New Roman" w:cs="Times New Roman"/>
          <w:iCs/>
        </w:rPr>
        <w:t xml:space="preserve">If Borges meant to eliminate the </w:t>
      </w:r>
      <w:r w:rsidR="0007445E">
        <w:rPr>
          <w:rStyle w:val="None"/>
          <w:rFonts w:ascii="Times New Roman" w:hAnsi="Times New Roman" w:cs="Times New Roman"/>
          <w:i/>
          <w:iCs/>
        </w:rPr>
        <w:t xml:space="preserve">x, </w:t>
      </w:r>
      <w:r w:rsidR="0007445E">
        <w:rPr>
          <w:rStyle w:val="None"/>
          <w:rFonts w:ascii="Times New Roman" w:hAnsi="Times New Roman" w:cs="Times New Roman"/>
        </w:rPr>
        <w:t xml:space="preserve">could </w:t>
      </w:r>
      <w:r w:rsidRPr="002A5B56">
        <w:rPr>
          <w:rStyle w:val="None"/>
          <w:rFonts w:ascii="Times New Roman" w:hAnsi="Times New Roman" w:cs="Times New Roman"/>
        </w:rPr>
        <w:t xml:space="preserve">this </w:t>
      </w:r>
      <w:r w:rsidR="0007445E">
        <w:rPr>
          <w:rStyle w:val="None"/>
          <w:rFonts w:ascii="Times New Roman" w:hAnsi="Times New Roman" w:cs="Times New Roman"/>
        </w:rPr>
        <w:t xml:space="preserve">have </w:t>
      </w:r>
      <w:r w:rsidRPr="002A5B56">
        <w:rPr>
          <w:rStyle w:val="None"/>
          <w:rFonts w:ascii="Times New Roman" w:hAnsi="Times New Roman" w:cs="Times New Roman"/>
        </w:rPr>
        <w:t>be</w:t>
      </w:r>
      <w:r w:rsidR="0007445E">
        <w:rPr>
          <w:rStyle w:val="None"/>
          <w:rFonts w:ascii="Times New Roman" w:hAnsi="Times New Roman" w:cs="Times New Roman"/>
        </w:rPr>
        <w:t>en</w:t>
      </w:r>
      <w:r w:rsidRPr="002A5B56">
        <w:rPr>
          <w:rStyle w:val="None"/>
          <w:rFonts w:ascii="Times New Roman" w:hAnsi="Times New Roman" w:cs="Times New Roman"/>
        </w:rPr>
        <w:t xml:space="preserve"> </w:t>
      </w:r>
      <w:proofErr w:type="spellStart"/>
      <w:r w:rsidRPr="002A5B56">
        <w:rPr>
          <w:rStyle w:val="None"/>
          <w:rFonts w:ascii="Times New Roman" w:hAnsi="Times New Roman" w:cs="Times New Roman"/>
        </w:rPr>
        <w:t>acsacsacsas</w:t>
      </w:r>
      <w:proofErr w:type="spellEnd"/>
      <w:r w:rsidRPr="002A5B56">
        <w:rPr>
          <w:rStyle w:val="None"/>
          <w:rFonts w:ascii="Times New Roman" w:hAnsi="Times New Roman" w:cs="Times New Roman"/>
        </w:rPr>
        <w:t xml:space="preserve">, or </w:t>
      </w:r>
      <w:proofErr w:type="spellStart"/>
      <w:r w:rsidRPr="002A5B56">
        <w:rPr>
          <w:rStyle w:val="None"/>
          <w:rFonts w:ascii="Times New Roman" w:hAnsi="Times New Roman" w:cs="Times New Roman"/>
        </w:rPr>
        <w:t>ashashashas</w:t>
      </w:r>
      <w:proofErr w:type="spellEnd"/>
      <w:r w:rsidRPr="002A5B56">
        <w:rPr>
          <w:rStyle w:val="None"/>
          <w:rFonts w:ascii="Times New Roman" w:hAnsi="Times New Roman" w:cs="Times New Roman"/>
        </w:rPr>
        <w:t xml:space="preserve">, or </w:t>
      </w:r>
      <w:proofErr w:type="spellStart"/>
      <w:r w:rsidRPr="002A5B56">
        <w:rPr>
          <w:rStyle w:val="None"/>
          <w:rFonts w:ascii="Times New Roman" w:hAnsi="Times New Roman" w:cs="Times New Roman"/>
        </w:rPr>
        <w:t>ajajajas</w:t>
      </w:r>
      <w:proofErr w:type="spellEnd"/>
      <w:r w:rsidRPr="002A5B56">
        <w:rPr>
          <w:rStyle w:val="None"/>
          <w:rFonts w:ascii="Times New Roman" w:hAnsi="Times New Roman" w:cs="Times New Roman"/>
        </w:rPr>
        <w:t xml:space="preserve">? </w:t>
      </w:r>
      <w:r w:rsidR="0007445E">
        <w:rPr>
          <w:rStyle w:val="None"/>
          <w:rFonts w:ascii="Times New Roman" w:hAnsi="Times New Roman" w:cs="Times New Roman"/>
          <w:i/>
          <w:iCs/>
        </w:rPr>
        <w:t>x</w:t>
      </w:r>
      <w:r w:rsidRPr="002A5B56">
        <w:rPr>
          <w:rStyle w:val="None"/>
          <w:rFonts w:ascii="Times New Roman" w:hAnsi="Times New Roman" w:cs="Times New Roman"/>
        </w:rPr>
        <w:t xml:space="preserve"> is perhaps the </w:t>
      </w:r>
      <w:r w:rsidR="00C84A17">
        <w:rPr>
          <w:rStyle w:val="None"/>
          <w:rFonts w:ascii="Times New Roman" w:hAnsi="Times New Roman" w:cs="Times New Roman"/>
        </w:rPr>
        <w:t>least suitable</w:t>
      </w:r>
      <w:r w:rsidRPr="002A5B56">
        <w:rPr>
          <w:rStyle w:val="None"/>
          <w:rFonts w:ascii="Times New Roman" w:hAnsi="Times New Roman" w:cs="Times New Roman"/>
        </w:rPr>
        <w:t xml:space="preserve"> letter for Borges to choose as irrelevant (as an “abbreviation”) given its regional and historical vicissitudes in Spanish pronunciation. At the very least, this reminds us that every sign and every letter is determined by a context to which it itself contributes—none can be removed or substituted </w:t>
      </w:r>
      <w:proofErr w:type="spellStart"/>
      <w:r w:rsidRPr="002A5B56">
        <w:rPr>
          <w:rStyle w:val="None"/>
          <w:rFonts w:ascii="Times New Roman" w:hAnsi="Times New Roman" w:cs="Times New Roman"/>
        </w:rPr>
        <w:t>losslessly</w:t>
      </w:r>
      <w:proofErr w:type="spellEnd"/>
      <w:r w:rsidRPr="002A5B56">
        <w:rPr>
          <w:rStyle w:val="None"/>
          <w:rFonts w:ascii="Times New Roman" w:hAnsi="Times New Roman" w:cs="Times New Roman"/>
        </w:rPr>
        <w:t xml:space="preserve">. </w:t>
      </w:r>
      <w:r w:rsidR="0007445E">
        <w:rPr>
          <w:rStyle w:val="None"/>
          <w:rFonts w:ascii="Times New Roman" w:hAnsi="Times New Roman" w:cs="Times New Roman"/>
        </w:rPr>
        <w:t>There’s much more to be said about this phrase, which comes</w:t>
      </w:r>
      <w:r w:rsidRPr="002A5B56">
        <w:rPr>
          <w:rStyle w:val="None"/>
          <w:rFonts w:ascii="Times New Roman" w:hAnsi="Times New Roman" w:cs="Times New Roman"/>
        </w:rPr>
        <w:t xml:space="preserve"> from an imagined language in </w:t>
      </w:r>
      <w:r w:rsidR="00A63927">
        <w:rPr>
          <w:rStyle w:val="None"/>
          <w:rFonts w:ascii="Times New Roman" w:hAnsi="Times New Roman" w:cs="Times New Roman"/>
        </w:rPr>
        <w:t>Borges’s</w:t>
      </w:r>
      <w:r w:rsidRPr="002A5B56">
        <w:rPr>
          <w:rStyle w:val="None"/>
          <w:rFonts w:ascii="Times New Roman" w:hAnsi="Times New Roman" w:cs="Times New Roman"/>
        </w:rPr>
        <w:t xml:space="preserve"> “</w:t>
      </w:r>
      <w:proofErr w:type="spellStart"/>
      <w:r w:rsidRPr="002A5B56">
        <w:rPr>
          <w:rStyle w:val="None"/>
          <w:rFonts w:ascii="Times New Roman" w:hAnsi="Times New Roman" w:cs="Times New Roman"/>
        </w:rPr>
        <w:t>Tlön</w:t>
      </w:r>
      <w:proofErr w:type="spellEnd"/>
      <w:r w:rsidRPr="002A5B56">
        <w:rPr>
          <w:rStyle w:val="None"/>
          <w:rFonts w:ascii="Times New Roman" w:hAnsi="Times New Roman" w:cs="Times New Roman"/>
        </w:rPr>
        <w:t xml:space="preserve">, </w:t>
      </w:r>
      <w:proofErr w:type="spellStart"/>
      <w:r w:rsidRPr="002A5B56">
        <w:rPr>
          <w:rStyle w:val="None"/>
          <w:rFonts w:ascii="Times New Roman" w:hAnsi="Times New Roman" w:cs="Times New Roman"/>
        </w:rPr>
        <w:t>Uqbar</w:t>
      </w:r>
      <w:proofErr w:type="spellEnd"/>
      <w:r w:rsidRPr="002A5B56">
        <w:rPr>
          <w:rStyle w:val="None"/>
          <w:rFonts w:ascii="Times New Roman" w:hAnsi="Times New Roman" w:cs="Times New Roman"/>
        </w:rPr>
        <w:t>, Orbis Tertius,” and means something like “</w:t>
      </w:r>
      <w:proofErr w:type="spellStart"/>
      <w:r w:rsidRPr="002A5B56">
        <w:rPr>
          <w:rStyle w:val="None"/>
          <w:rFonts w:ascii="Times New Roman" w:hAnsi="Times New Roman" w:cs="Times New Roman"/>
        </w:rPr>
        <w:t>onstreaming</w:t>
      </w:r>
      <w:proofErr w:type="spellEnd"/>
      <w:r w:rsidRPr="002A5B56">
        <w:rPr>
          <w:rStyle w:val="None"/>
          <w:rFonts w:ascii="Times New Roman" w:hAnsi="Times New Roman" w:cs="Times New Roman"/>
        </w:rPr>
        <w:t xml:space="preserve"> it mooned</w:t>
      </w:r>
      <w:r w:rsidR="0007445E">
        <w:rPr>
          <w:rStyle w:val="None"/>
          <w:rFonts w:ascii="Times New Roman" w:hAnsi="Times New Roman" w:cs="Times New Roman"/>
        </w:rPr>
        <w:t>.</w:t>
      </w:r>
      <w:r w:rsidRPr="002A5B56">
        <w:rPr>
          <w:rStyle w:val="None"/>
          <w:rFonts w:ascii="Times New Roman" w:hAnsi="Times New Roman" w:cs="Times New Roman"/>
        </w:rPr>
        <w:t xml:space="preserve">” </w:t>
      </w:r>
      <w:r w:rsidR="0007445E">
        <w:rPr>
          <w:rStyle w:val="None"/>
          <w:rFonts w:ascii="Times New Roman" w:hAnsi="Times New Roman" w:cs="Times New Roman"/>
        </w:rPr>
        <w:t xml:space="preserve">Just to indicate the trailhead of an interpretation of this intertextuality, </w:t>
      </w:r>
      <w:r w:rsidRPr="002A5B56">
        <w:rPr>
          <w:rStyle w:val="None"/>
          <w:rFonts w:ascii="Times New Roman" w:hAnsi="Times New Roman" w:cs="Times New Roman"/>
        </w:rPr>
        <w:t xml:space="preserve">the idealism of </w:t>
      </w:r>
      <w:proofErr w:type="spellStart"/>
      <w:r w:rsidRPr="002A5B56">
        <w:rPr>
          <w:rStyle w:val="None"/>
          <w:rFonts w:ascii="Times New Roman" w:hAnsi="Times New Roman" w:cs="Times New Roman"/>
        </w:rPr>
        <w:t>Tlön</w:t>
      </w:r>
      <w:proofErr w:type="spellEnd"/>
      <w:r w:rsidRPr="002A5B56">
        <w:rPr>
          <w:rStyle w:val="None"/>
          <w:rFonts w:ascii="Times New Roman" w:hAnsi="Times New Roman" w:cs="Times New Roman"/>
        </w:rPr>
        <w:t xml:space="preserve"> exemplified by this phrase draws into question even the most basic assertion of identity, which is fundamental to the atomist claims of our narrator</w:t>
      </w:r>
      <w:r w:rsidR="0007445E">
        <w:rPr>
          <w:rStyle w:val="None"/>
          <w:rFonts w:ascii="Times New Roman" w:hAnsi="Times New Roman" w:cs="Times New Roman"/>
        </w:rPr>
        <w:t xml:space="preserve"> (his representation of language as a set of indivisible elements)</w:t>
      </w:r>
      <w:r w:rsidRPr="002A5B56">
        <w:rPr>
          <w:rStyle w:val="None"/>
          <w:rFonts w:ascii="Times New Roman" w:hAnsi="Times New Roman" w:cs="Times New Roman"/>
        </w:rPr>
        <w:t xml:space="preserve">. </w:t>
      </w:r>
      <w:r w:rsidR="006318F0">
        <w:rPr>
          <w:rStyle w:val="None"/>
          <w:rFonts w:ascii="Times New Roman" w:hAnsi="Times New Roman" w:cs="Times New Roman"/>
        </w:rPr>
        <w:t>That the letter is no atom, that it divides from itself, is the very form and function of the umlaut that makes its appearance here. Its form: the two dots, like a split</w:t>
      </w:r>
      <w:r w:rsidR="003E51CB">
        <w:rPr>
          <w:rStyle w:val="None"/>
          <w:rFonts w:ascii="Times New Roman" w:hAnsi="Times New Roman" w:cs="Times New Roman"/>
        </w:rPr>
        <w:t>ting</w:t>
      </w:r>
      <w:r w:rsidR="006318F0">
        <w:rPr>
          <w:rStyle w:val="None"/>
          <w:rFonts w:ascii="Times New Roman" w:hAnsi="Times New Roman" w:cs="Times New Roman"/>
        </w:rPr>
        <w:t xml:space="preserve"> particle; its function: to shift the sound and signification of a letter</w:t>
      </w:r>
      <w:r w:rsidR="000D3407">
        <w:rPr>
          <w:rStyle w:val="None"/>
          <w:rFonts w:ascii="Times New Roman" w:hAnsi="Times New Roman" w:cs="Times New Roman"/>
        </w:rPr>
        <w:t>, to make one letter no longer the same as itself</w:t>
      </w:r>
      <w:r w:rsidR="006318F0">
        <w:rPr>
          <w:rStyle w:val="None"/>
          <w:rFonts w:ascii="Times New Roman" w:hAnsi="Times New Roman" w:cs="Times New Roman"/>
        </w:rPr>
        <w:t>.</w:t>
      </w:r>
    </w:p>
    <w:p w14:paraId="068B6C0B" w14:textId="77777777" w:rsidR="002A5B56" w:rsidRPr="002A5B56" w:rsidRDefault="002A5B56" w:rsidP="002A5B56">
      <w:pPr>
        <w:spacing w:line="480" w:lineRule="auto"/>
        <w:rPr>
          <w:rStyle w:val="None"/>
          <w:rFonts w:ascii="Times New Roman" w:hAnsi="Times New Roman" w:cs="Times New Roman"/>
        </w:rPr>
      </w:pPr>
      <w:r w:rsidRPr="002A5B56">
        <w:rPr>
          <w:rStyle w:val="None"/>
          <w:rFonts w:ascii="Times New Roman" w:hAnsi="Times New Roman" w:cs="Times New Roman"/>
        </w:rPr>
        <w:tab/>
        <w:t xml:space="preserve">This insufficiency of the library’s character set—that there will always be some characters left out of even the most capacious </w:t>
      </w:r>
      <w:r w:rsidR="003E51CB">
        <w:rPr>
          <w:rStyle w:val="None"/>
          <w:rFonts w:ascii="Times New Roman" w:hAnsi="Times New Roman" w:cs="Times New Roman"/>
        </w:rPr>
        <w:t>group</w:t>
      </w:r>
      <w:r w:rsidRPr="002A5B56">
        <w:rPr>
          <w:rStyle w:val="None"/>
          <w:rFonts w:ascii="Times New Roman" w:hAnsi="Times New Roman" w:cs="Times New Roman"/>
        </w:rPr>
        <w:t>, and that one or more characters can never substitute for others without some loss or gain—is what I referred to before as its accidental limitations. The essential insufficiency resides in the nature of a sign. Only if language has an atomic structure, if its letters and marks are indivisible, can the narrator’s second axiom</w:t>
      </w:r>
      <w:r w:rsidR="00DB290C">
        <w:rPr>
          <w:rStyle w:val="None"/>
          <w:rFonts w:ascii="Times New Roman" w:hAnsi="Times New Roman" w:cs="Times New Roman"/>
        </w:rPr>
        <w:t xml:space="preserve"> (“</w:t>
      </w:r>
      <w:r w:rsidR="00DB290C">
        <w:rPr>
          <w:rStyle w:val="None"/>
          <w:rFonts w:ascii="Times New Roman" w:hAnsi="Times New Roman" w:cs="Times New Roman"/>
          <w:i/>
        </w:rPr>
        <w:t xml:space="preserve">the </w:t>
      </w:r>
      <w:r w:rsidR="00DB290C">
        <w:rPr>
          <w:rStyle w:val="None"/>
          <w:rFonts w:ascii="Times New Roman" w:hAnsi="Times New Roman" w:cs="Times New Roman"/>
          <w:i/>
        </w:rPr>
        <w:lastRenderedPageBreak/>
        <w:t>orthographical symbols are twenty-five in number</w:t>
      </w:r>
      <w:r w:rsidR="00DB290C">
        <w:rPr>
          <w:rStyle w:val="None"/>
          <w:rFonts w:ascii="Times New Roman" w:hAnsi="Times New Roman" w:cs="Times New Roman"/>
        </w:rPr>
        <w:t>”)</w:t>
      </w:r>
      <w:r w:rsidRPr="002A5B56">
        <w:rPr>
          <w:rStyle w:val="None"/>
          <w:rFonts w:ascii="Times New Roman" w:hAnsi="Times New Roman" w:cs="Times New Roman"/>
        </w:rPr>
        <w:t xml:space="preserve"> be upheld. But the narrative itself draws into question the self-identity of these symbols, in the sentence immediately preceding: </w:t>
      </w:r>
    </w:p>
    <w:p w14:paraId="2DBCA150" w14:textId="77777777" w:rsidR="002A5B56" w:rsidRPr="002A5B56" w:rsidRDefault="002A5B56" w:rsidP="002A5B56">
      <w:pPr>
        <w:ind w:left="785"/>
        <w:rPr>
          <w:rStyle w:val="None"/>
          <w:rFonts w:ascii="Times New Roman" w:hAnsi="Times New Roman" w:cs="Times New Roman"/>
        </w:rPr>
      </w:pPr>
      <w:r w:rsidRPr="002A5B56">
        <w:rPr>
          <w:rStyle w:val="None"/>
          <w:rFonts w:ascii="Times New Roman" w:hAnsi="Times New Roman" w:cs="Times New Roman"/>
        </w:rPr>
        <w:t>To perceive the distance between the divine and the human, it is enough to compare these crude wavering symbols which my fallible hand scrawls on the cover of a book, with the organic letters inside: punctual, delicate, perfectly black [</w:t>
      </w:r>
      <w:proofErr w:type="spellStart"/>
      <w:r w:rsidRPr="002A5B56">
        <w:rPr>
          <w:rStyle w:val="None"/>
          <w:rFonts w:ascii="Times New Roman" w:hAnsi="Times New Roman" w:cs="Times New Roman"/>
          <w:i/>
          <w:iCs/>
        </w:rPr>
        <w:t>negrísimas</w:t>
      </w:r>
      <w:proofErr w:type="spellEnd"/>
      <w:r w:rsidRPr="002A5B56">
        <w:rPr>
          <w:rStyle w:val="None"/>
          <w:rFonts w:ascii="Times New Roman" w:hAnsi="Times New Roman" w:cs="Times New Roman"/>
        </w:rPr>
        <w:t>], inimitably symmetrical. (</w:t>
      </w:r>
      <w:r w:rsidRPr="002A5B56">
        <w:rPr>
          <w:rStyle w:val="None"/>
          <w:rFonts w:ascii="Times New Roman" w:hAnsi="Times New Roman" w:cs="Times New Roman"/>
          <w:i/>
          <w:iCs/>
        </w:rPr>
        <w:t>Labyrinths</w:t>
      </w:r>
      <w:r w:rsidRPr="002A5B56">
        <w:rPr>
          <w:rStyle w:val="None"/>
          <w:rFonts w:ascii="Times New Roman" w:hAnsi="Times New Roman" w:cs="Times New Roman"/>
        </w:rPr>
        <w:t xml:space="preserve"> 52-3)</w:t>
      </w:r>
    </w:p>
    <w:p w14:paraId="38854032" w14:textId="77777777" w:rsidR="002A5B56" w:rsidRPr="002A5B56" w:rsidRDefault="002A5B56" w:rsidP="002A5B56">
      <w:pPr>
        <w:ind w:left="785"/>
        <w:rPr>
          <w:rStyle w:val="None"/>
          <w:rFonts w:ascii="Times New Roman" w:hAnsi="Times New Roman" w:cs="Times New Roman"/>
        </w:rPr>
      </w:pPr>
    </w:p>
    <w:p w14:paraId="6AFC989A" w14:textId="77777777" w:rsidR="002A5B56" w:rsidRDefault="002A5B56" w:rsidP="002A5B56">
      <w:pPr>
        <w:spacing w:line="480" w:lineRule="auto"/>
        <w:rPr>
          <w:rStyle w:val="None"/>
          <w:rFonts w:ascii="Times New Roman" w:hAnsi="Times New Roman" w:cs="Times New Roman"/>
        </w:rPr>
      </w:pPr>
      <w:r w:rsidRPr="002A5B56">
        <w:rPr>
          <w:rStyle w:val="None"/>
          <w:rFonts w:ascii="Times New Roman" w:hAnsi="Times New Roman" w:cs="Times New Roman"/>
        </w:rPr>
        <w:t xml:space="preserve">In order for divine and human writing to be distinguishable, the “twenty-five” symbols have to each be more or less than one in never being at one with themselves. </w:t>
      </w:r>
      <w:r w:rsidR="004034B6">
        <w:rPr>
          <w:rStyle w:val="None"/>
          <w:rFonts w:ascii="Times New Roman" w:hAnsi="Times New Roman" w:cs="Times New Roman"/>
        </w:rPr>
        <w:t xml:space="preserve">In order to be recognized as letters at all, each must be </w:t>
      </w:r>
      <w:r w:rsidRPr="002A5B56">
        <w:rPr>
          <w:rStyle w:val="None"/>
          <w:rFonts w:ascii="Times New Roman" w:hAnsi="Times New Roman" w:cs="Times New Roman"/>
        </w:rPr>
        <w:t xml:space="preserve">capable of separating from itself and being </w:t>
      </w:r>
      <w:r w:rsidR="004034B6">
        <w:rPr>
          <w:rStyle w:val="None"/>
          <w:rFonts w:ascii="Times New Roman" w:hAnsi="Times New Roman" w:cs="Times New Roman"/>
        </w:rPr>
        <w:t xml:space="preserve">identified </w:t>
      </w:r>
      <w:r w:rsidRPr="002A5B56">
        <w:rPr>
          <w:rStyle w:val="None"/>
          <w:rFonts w:ascii="Times New Roman" w:hAnsi="Times New Roman" w:cs="Times New Roman"/>
        </w:rPr>
        <w:t xml:space="preserve">as both the same and different, despite the narrator’s dream of inimitability. </w:t>
      </w:r>
      <w:r w:rsidR="00DB290C">
        <w:rPr>
          <w:rStyle w:val="None"/>
          <w:rFonts w:ascii="Times New Roman" w:hAnsi="Times New Roman" w:cs="Times New Roman"/>
        </w:rPr>
        <w:t>Without the</w:t>
      </w:r>
      <w:r w:rsidRPr="002A5B56">
        <w:rPr>
          <w:rStyle w:val="None"/>
          <w:rFonts w:ascii="Times New Roman" w:hAnsi="Times New Roman" w:cs="Times New Roman"/>
        </w:rPr>
        <w:t xml:space="preserve"> self-identity</w:t>
      </w:r>
      <w:r w:rsidR="00DB290C">
        <w:rPr>
          <w:rStyle w:val="None"/>
          <w:rFonts w:ascii="Times New Roman" w:hAnsi="Times New Roman" w:cs="Times New Roman"/>
        </w:rPr>
        <w:t xml:space="preserve"> of the letter</w:t>
      </w:r>
      <w:r w:rsidRPr="002A5B56">
        <w:rPr>
          <w:rStyle w:val="None"/>
          <w:rFonts w:ascii="Times New Roman" w:hAnsi="Times New Roman" w:cs="Times New Roman"/>
        </w:rPr>
        <w:t>, the saturation of meaning is an essential impossibility, and the narrator’s dream of totality is dependent on the symbols that subvert it.</w:t>
      </w:r>
    </w:p>
    <w:p w14:paraId="77772EFF" w14:textId="77777777" w:rsidR="004034B6" w:rsidRDefault="002B0C81" w:rsidP="002A5B56">
      <w:pPr>
        <w:spacing w:line="480" w:lineRule="auto"/>
        <w:rPr>
          <w:rStyle w:val="None"/>
          <w:rFonts w:ascii="Times New Roman" w:hAnsi="Times New Roman" w:cs="Times New Roman"/>
        </w:rPr>
      </w:pPr>
      <w:r>
        <w:rPr>
          <w:rStyle w:val="None"/>
          <w:rFonts w:ascii="Times New Roman" w:hAnsi="Times New Roman" w:cs="Times New Roman"/>
        </w:rPr>
        <w:tab/>
      </w:r>
      <w:r w:rsidR="00732B27">
        <w:rPr>
          <w:rStyle w:val="None"/>
          <w:rFonts w:ascii="Times New Roman" w:hAnsi="Times New Roman" w:cs="Times New Roman"/>
        </w:rPr>
        <w:t xml:space="preserve">“The Library of Babel,” then, should not be </w:t>
      </w:r>
      <w:r w:rsidR="005E31B9">
        <w:rPr>
          <w:rStyle w:val="None"/>
          <w:rFonts w:ascii="Times New Roman" w:hAnsi="Times New Roman" w:cs="Times New Roman"/>
        </w:rPr>
        <w:t>read</w:t>
      </w:r>
      <w:r w:rsidR="00732B27">
        <w:rPr>
          <w:rStyle w:val="None"/>
          <w:rFonts w:ascii="Times New Roman" w:hAnsi="Times New Roman" w:cs="Times New Roman"/>
        </w:rPr>
        <w:t xml:space="preserve"> as a story about the exhaustibility or </w:t>
      </w:r>
      <w:r w:rsidR="005E31B9">
        <w:rPr>
          <w:rStyle w:val="None"/>
          <w:rFonts w:ascii="Times New Roman" w:hAnsi="Times New Roman" w:cs="Times New Roman"/>
        </w:rPr>
        <w:t xml:space="preserve">exhaustion of </w:t>
      </w:r>
      <w:r w:rsidR="00732B27">
        <w:rPr>
          <w:rStyle w:val="None"/>
          <w:rFonts w:ascii="Times New Roman" w:hAnsi="Times New Roman" w:cs="Times New Roman"/>
        </w:rPr>
        <w:t>language</w:t>
      </w:r>
      <w:r w:rsidR="005E31B9">
        <w:rPr>
          <w:rStyle w:val="None"/>
          <w:rFonts w:ascii="Times New Roman" w:hAnsi="Times New Roman" w:cs="Times New Roman"/>
        </w:rPr>
        <w:t>, as John Barth, Foucault, and so many others have</w:t>
      </w:r>
      <w:r w:rsidR="00CD7B39">
        <w:rPr>
          <w:rStyle w:val="None"/>
          <w:rFonts w:ascii="Times New Roman" w:hAnsi="Times New Roman" w:cs="Times New Roman"/>
        </w:rPr>
        <w:t xml:space="preserve"> done</w:t>
      </w:r>
      <w:r w:rsidR="00732B27">
        <w:rPr>
          <w:rStyle w:val="None"/>
          <w:rFonts w:ascii="Times New Roman" w:hAnsi="Times New Roman" w:cs="Times New Roman"/>
        </w:rPr>
        <w:t xml:space="preserve">. </w:t>
      </w:r>
      <w:r w:rsidR="005E31B9">
        <w:rPr>
          <w:rStyle w:val="None"/>
          <w:rFonts w:ascii="Times New Roman" w:hAnsi="Times New Roman" w:cs="Times New Roman"/>
        </w:rPr>
        <w:t>Everything recognizable as a difference</w:t>
      </w:r>
      <w:r w:rsidR="00D77D28">
        <w:rPr>
          <w:rStyle w:val="None"/>
          <w:rFonts w:ascii="Times New Roman" w:hAnsi="Times New Roman" w:cs="Times New Roman"/>
        </w:rPr>
        <w:t xml:space="preserve">, passing itself off as a new word or a new work, is to that very extent permutable in its origins. But there is ceaseless novelty in repetition, in the differences for which we have no name and no mark. </w:t>
      </w:r>
      <w:r w:rsidR="00DB3B2A">
        <w:rPr>
          <w:rStyle w:val="None"/>
          <w:rFonts w:ascii="Times New Roman" w:hAnsi="Times New Roman" w:cs="Times New Roman"/>
        </w:rPr>
        <w:t>Borges referred to this sort of differing-from-self when he wrote that, “Literature is not exhaustible, for the sufficient and simple reason that a single book is not” (</w:t>
      </w:r>
      <w:r w:rsidR="00890889">
        <w:rPr>
          <w:rStyle w:val="None"/>
          <w:rFonts w:ascii="Times New Roman" w:hAnsi="Times New Roman" w:cs="Times New Roman"/>
          <w:i/>
        </w:rPr>
        <w:t xml:space="preserve">Other Inquisitions </w:t>
      </w:r>
      <w:r w:rsidR="00DB3B2A">
        <w:rPr>
          <w:rStyle w:val="None"/>
          <w:rFonts w:ascii="Times New Roman" w:hAnsi="Times New Roman" w:cs="Times New Roman"/>
        </w:rPr>
        <w:t>164).</w:t>
      </w:r>
      <w:r w:rsidR="005E31B9">
        <w:rPr>
          <w:rStyle w:val="None"/>
          <w:rFonts w:ascii="Times New Roman" w:hAnsi="Times New Roman" w:cs="Times New Roman"/>
        </w:rPr>
        <w:t xml:space="preserve"> </w:t>
      </w:r>
      <w:r w:rsidR="00E04F10">
        <w:rPr>
          <w:rStyle w:val="None"/>
          <w:rFonts w:ascii="Times New Roman" w:hAnsi="Times New Roman" w:cs="Times New Roman"/>
        </w:rPr>
        <w:t xml:space="preserve">The letter, phrase, or work that differs from itself is like the ironic text, which becomes its opposite and </w:t>
      </w:r>
      <w:r w:rsidR="00CD7B39">
        <w:rPr>
          <w:rStyle w:val="None"/>
          <w:rFonts w:ascii="Times New Roman" w:hAnsi="Times New Roman" w:cs="Times New Roman"/>
        </w:rPr>
        <w:t>everything</w:t>
      </w:r>
      <w:r w:rsidR="00E04F10">
        <w:rPr>
          <w:rStyle w:val="None"/>
          <w:rFonts w:ascii="Times New Roman" w:hAnsi="Times New Roman" w:cs="Times New Roman"/>
        </w:rPr>
        <w:t xml:space="preserve"> else without a single mark of differ</w:t>
      </w:r>
      <w:r w:rsidR="00B3568B">
        <w:rPr>
          <w:rStyle w:val="None"/>
          <w:rFonts w:ascii="Times New Roman" w:hAnsi="Times New Roman" w:cs="Times New Roman"/>
        </w:rPr>
        <w:t>e</w:t>
      </w:r>
      <w:r w:rsidR="00E04F10">
        <w:rPr>
          <w:rStyle w:val="None"/>
          <w:rFonts w:ascii="Times New Roman" w:hAnsi="Times New Roman" w:cs="Times New Roman"/>
        </w:rPr>
        <w:t>nce.</w:t>
      </w:r>
    </w:p>
    <w:p w14:paraId="3252F1EF" w14:textId="77777777" w:rsidR="00B3568B" w:rsidRDefault="00B3568B" w:rsidP="002A5B56">
      <w:pPr>
        <w:spacing w:line="480" w:lineRule="auto"/>
        <w:rPr>
          <w:rStyle w:val="None"/>
          <w:rFonts w:ascii="Times New Roman" w:hAnsi="Times New Roman" w:cs="Times New Roman"/>
        </w:rPr>
      </w:pPr>
    </w:p>
    <w:p w14:paraId="33183D0F" w14:textId="77777777" w:rsidR="00E04F10" w:rsidRPr="00B3568B" w:rsidRDefault="00B3568B" w:rsidP="00B3568B">
      <w:pPr>
        <w:spacing w:line="480" w:lineRule="auto"/>
        <w:jc w:val="center"/>
        <w:rPr>
          <w:rStyle w:val="None"/>
          <w:rFonts w:ascii="Times New Roman" w:hAnsi="Times New Roman" w:cs="Times New Roman"/>
        </w:rPr>
      </w:pPr>
      <w:r>
        <w:rPr>
          <w:rStyle w:val="None"/>
          <w:rFonts w:ascii="Times New Roman" w:hAnsi="Times New Roman" w:cs="Times New Roman"/>
          <w:i/>
        </w:rPr>
        <w:t>Pierre Menard</w:t>
      </w:r>
    </w:p>
    <w:p w14:paraId="43EB3D1E" w14:textId="452BAC68" w:rsidR="00C8048D" w:rsidRDefault="00B3568B" w:rsidP="002A5B56">
      <w:pPr>
        <w:spacing w:line="480" w:lineRule="auto"/>
        <w:rPr>
          <w:rStyle w:val="None"/>
          <w:rFonts w:ascii="Times New Roman" w:hAnsi="Times New Roman" w:cs="Times New Roman"/>
        </w:rPr>
      </w:pPr>
      <w:r>
        <w:rPr>
          <w:rStyle w:val="None"/>
          <w:rFonts w:ascii="Times New Roman" w:hAnsi="Times New Roman" w:cs="Times New Roman"/>
        </w:rPr>
        <w:t xml:space="preserve">A greater share of readers </w:t>
      </w:r>
      <w:proofErr w:type="gramStart"/>
      <w:r>
        <w:rPr>
          <w:rStyle w:val="None"/>
          <w:rFonts w:ascii="Times New Roman" w:hAnsi="Times New Roman" w:cs="Times New Roman"/>
        </w:rPr>
        <w:t>have</w:t>
      </w:r>
      <w:proofErr w:type="gramEnd"/>
      <w:r>
        <w:rPr>
          <w:rStyle w:val="None"/>
          <w:rFonts w:ascii="Times New Roman" w:hAnsi="Times New Roman" w:cs="Times New Roman"/>
        </w:rPr>
        <w:t xml:space="preserve"> recognized some irony in the narrative frame of “Pierre Menard: Author of the </w:t>
      </w:r>
      <w:r w:rsidRPr="00B3568B">
        <w:rPr>
          <w:rStyle w:val="None"/>
          <w:rFonts w:ascii="Times New Roman" w:hAnsi="Times New Roman" w:cs="Times New Roman"/>
          <w:i/>
        </w:rPr>
        <w:t>Quixote</w:t>
      </w:r>
      <w:r>
        <w:rPr>
          <w:rStyle w:val="None"/>
          <w:rFonts w:ascii="Times New Roman" w:hAnsi="Times New Roman" w:cs="Times New Roman"/>
        </w:rPr>
        <w:t xml:space="preserve">.” This is likely because of the overt </w:t>
      </w:r>
      <w:r w:rsidR="003C5757">
        <w:rPr>
          <w:rStyle w:val="None"/>
          <w:rFonts w:ascii="Times New Roman" w:hAnsi="Times New Roman" w:cs="Times New Roman"/>
        </w:rPr>
        <w:t>anti-S</w:t>
      </w:r>
      <w:r w:rsidR="0088440C">
        <w:rPr>
          <w:rStyle w:val="None"/>
          <w:rFonts w:ascii="Times New Roman" w:hAnsi="Times New Roman" w:cs="Times New Roman"/>
        </w:rPr>
        <w:t>emitism and other prejudices expressed by the story’s narrator</w:t>
      </w:r>
      <w:r w:rsidR="0086352F">
        <w:rPr>
          <w:rStyle w:val="None"/>
          <w:rFonts w:ascii="Times New Roman" w:hAnsi="Times New Roman" w:cs="Times New Roman"/>
        </w:rPr>
        <w:t xml:space="preserve"> in its opening paragraph</w:t>
      </w:r>
      <w:r w:rsidR="0088440C">
        <w:rPr>
          <w:rStyle w:val="None"/>
          <w:rFonts w:ascii="Times New Roman" w:hAnsi="Times New Roman" w:cs="Times New Roman"/>
        </w:rPr>
        <w:t>.</w:t>
      </w:r>
      <w:r w:rsidR="008C55A7">
        <w:rPr>
          <w:rStyle w:val="None"/>
          <w:rFonts w:ascii="Times New Roman" w:hAnsi="Times New Roman" w:cs="Times New Roman"/>
        </w:rPr>
        <w:t xml:space="preserve"> Most readers who identify this irony </w:t>
      </w:r>
      <w:r w:rsidR="008C55A7">
        <w:rPr>
          <w:rStyle w:val="None"/>
          <w:rFonts w:ascii="Times New Roman" w:hAnsi="Times New Roman" w:cs="Times New Roman"/>
        </w:rPr>
        <w:lastRenderedPageBreak/>
        <w:t xml:space="preserve">see it as limited to these opening </w:t>
      </w:r>
      <w:proofErr w:type="gramStart"/>
      <w:r w:rsidR="008C55A7">
        <w:rPr>
          <w:rStyle w:val="None"/>
          <w:rFonts w:ascii="Times New Roman" w:hAnsi="Times New Roman" w:cs="Times New Roman"/>
        </w:rPr>
        <w:t>gestures, and</w:t>
      </w:r>
      <w:proofErr w:type="gramEnd"/>
      <w:r w:rsidR="008C55A7">
        <w:rPr>
          <w:rStyle w:val="None"/>
          <w:rFonts w:ascii="Times New Roman" w:hAnsi="Times New Roman" w:cs="Times New Roman"/>
        </w:rPr>
        <w:t xml:space="preserve"> interpret it as a satire on French or Argentinian literary circles. </w:t>
      </w:r>
      <w:r w:rsidR="000C5942">
        <w:rPr>
          <w:rStyle w:val="None"/>
          <w:rFonts w:ascii="Times New Roman" w:hAnsi="Times New Roman" w:cs="Times New Roman"/>
        </w:rPr>
        <w:t xml:space="preserve">As </w:t>
      </w:r>
      <w:proofErr w:type="spellStart"/>
      <w:r w:rsidR="000C5942">
        <w:rPr>
          <w:rStyle w:val="None"/>
          <w:rFonts w:ascii="Times New Roman" w:hAnsi="Times New Roman" w:cs="Times New Roman"/>
        </w:rPr>
        <w:t>Monegal</w:t>
      </w:r>
      <w:proofErr w:type="spellEnd"/>
      <w:r w:rsidR="000C5942">
        <w:rPr>
          <w:rStyle w:val="None"/>
          <w:rFonts w:ascii="Times New Roman" w:hAnsi="Times New Roman" w:cs="Times New Roman"/>
        </w:rPr>
        <w:t xml:space="preserve"> sees it</w:t>
      </w:r>
      <w:r w:rsidR="008C55A7">
        <w:rPr>
          <w:rStyle w:val="None"/>
          <w:rFonts w:ascii="Times New Roman" w:hAnsi="Times New Roman" w:cs="Times New Roman"/>
        </w:rPr>
        <w:t>, “The story is presented as a parody of the kind of article written in defense of a misunderstood genius by one of his followers…It becomes a brilliant parody of French literary life, with its touches of bigotry, anti-Semitism, and adulation of the upper classes” (328).</w:t>
      </w:r>
      <w:r w:rsidR="000C5942">
        <w:rPr>
          <w:rStyle w:val="None"/>
          <w:rFonts w:ascii="Times New Roman" w:hAnsi="Times New Roman" w:cs="Times New Roman"/>
        </w:rPr>
        <w:t xml:space="preserve"> </w:t>
      </w:r>
      <w:r w:rsidR="00297C3F">
        <w:rPr>
          <w:rStyle w:val="None"/>
          <w:rFonts w:ascii="Times New Roman" w:hAnsi="Times New Roman" w:cs="Times New Roman"/>
        </w:rPr>
        <w:t>Jorge Luis Castello also notes how sinister these prejudices are in their context, being wri</w:t>
      </w:r>
      <w:r w:rsidR="005F08A5">
        <w:rPr>
          <w:rStyle w:val="None"/>
          <w:rFonts w:ascii="Times New Roman" w:hAnsi="Times New Roman" w:cs="Times New Roman"/>
        </w:rPr>
        <w:t>tten in 1939 on the eve of the Second World W</w:t>
      </w:r>
      <w:r w:rsidR="00297C3F">
        <w:rPr>
          <w:rStyle w:val="None"/>
          <w:rFonts w:ascii="Times New Roman" w:hAnsi="Times New Roman" w:cs="Times New Roman"/>
        </w:rPr>
        <w:t xml:space="preserve">ar. While he doesn’t make the connection explicitly, this offers the means to connect the criticism </w:t>
      </w:r>
      <w:r w:rsidR="00334131">
        <w:rPr>
          <w:rStyle w:val="None"/>
          <w:rFonts w:ascii="Times New Roman" w:hAnsi="Times New Roman" w:cs="Times New Roman"/>
        </w:rPr>
        <w:t xml:space="preserve">implied by </w:t>
      </w:r>
      <w:r w:rsidR="00297C3F">
        <w:rPr>
          <w:rStyle w:val="None"/>
          <w:rFonts w:ascii="Times New Roman" w:hAnsi="Times New Roman" w:cs="Times New Roman"/>
        </w:rPr>
        <w:t xml:space="preserve">the ironic narrative frame with Argentinian social circles, which Borges frequently </w:t>
      </w:r>
      <w:r w:rsidR="009C5D50">
        <w:rPr>
          <w:rStyle w:val="None"/>
          <w:rFonts w:ascii="Times New Roman" w:hAnsi="Times New Roman" w:cs="Times New Roman"/>
        </w:rPr>
        <w:t>denounced</w:t>
      </w:r>
      <w:r w:rsidR="00297C3F">
        <w:rPr>
          <w:rStyle w:val="None"/>
          <w:rFonts w:ascii="Times New Roman" w:hAnsi="Times New Roman" w:cs="Times New Roman"/>
        </w:rPr>
        <w:t xml:space="preserve"> at the time for their fascist sympathies and anti-Semitism.</w:t>
      </w:r>
      <w:r w:rsidR="00850016">
        <w:rPr>
          <w:rStyle w:val="FootnoteReference"/>
          <w:rFonts w:ascii="Times New Roman" w:hAnsi="Times New Roman" w:cs="Times New Roman"/>
        </w:rPr>
        <w:footnoteReference w:id="7"/>
      </w:r>
      <w:r w:rsidR="00812097">
        <w:rPr>
          <w:rStyle w:val="None"/>
          <w:rFonts w:ascii="Times New Roman" w:hAnsi="Times New Roman" w:cs="Times New Roman"/>
        </w:rPr>
        <w:t xml:space="preserve"> </w:t>
      </w:r>
    </w:p>
    <w:p w14:paraId="32948B7B" w14:textId="5B043791" w:rsidR="00284116" w:rsidRDefault="00C163EC" w:rsidP="00EC777D">
      <w:pPr>
        <w:spacing w:line="480" w:lineRule="auto"/>
        <w:rPr>
          <w:rFonts w:ascii="Times New Roman" w:hAnsi="Times New Roman" w:cs="Times New Roman"/>
          <w:color w:val="000000"/>
        </w:rPr>
      </w:pPr>
      <w:r>
        <w:rPr>
          <w:rStyle w:val="None"/>
          <w:rFonts w:ascii="Times New Roman" w:hAnsi="Times New Roman" w:cs="Times New Roman"/>
        </w:rPr>
        <w:tab/>
      </w:r>
      <w:r w:rsidR="009C5D50">
        <w:rPr>
          <w:rStyle w:val="None"/>
          <w:rFonts w:ascii="Times New Roman" w:hAnsi="Times New Roman" w:cs="Times New Roman"/>
        </w:rPr>
        <w:t>But the scope of Borges’s irony encompasses much more than social or literary circles at home or abroad.</w:t>
      </w:r>
      <w:r w:rsidR="005A1C62">
        <w:rPr>
          <w:rStyle w:val="None"/>
          <w:rFonts w:ascii="Times New Roman" w:hAnsi="Times New Roman" w:cs="Times New Roman"/>
        </w:rPr>
        <w:t xml:space="preserve"> </w:t>
      </w:r>
      <w:proofErr w:type="spellStart"/>
      <w:r w:rsidR="005A1C62">
        <w:rPr>
          <w:rStyle w:val="None"/>
          <w:rFonts w:ascii="Times New Roman" w:hAnsi="Times New Roman" w:cs="Times New Roman"/>
        </w:rPr>
        <w:t>Efraín</w:t>
      </w:r>
      <w:proofErr w:type="spellEnd"/>
      <w:r w:rsidR="005A1C62">
        <w:rPr>
          <w:rStyle w:val="None"/>
          <w:rFonts w:ascii="Times New Roman" w:hAnsi="Times New Roman" w:cs="Times New Roman"/>
        </w:rPr>
        <w:t xml:space="preserve"> Kristal has noted, in a brilliant analysis delivered during his UCLA 118</w:t>
      </w:r>
      <w:r w:rsidR="005A1C62" w:rsidRPr="005A1C62">
        <w:rPr>
          <w:rStyle w:val="None"/>
          <w:rFonts w:ascii="Times New Roman" w:hAnsi="Times New Roman" w:cs="Times New Roman"/>
          <w:vertAlign w:val="superscript"/>
        </w:rPr>
        <w:t>th</w:t>
      </w:r>
      <w:r w:rsidR="005A1C62">
        <w:rPr>
          <w:rStyle w:val="None"/>
          <w:rFonts w:ascii="Times New Roman" w:hAnsi="Times New Roman" w:cs="Times New Roman"/>
        </w:rPr>
        <w:t xml:space="preserve"> Faculty Research Lecture, that the narrator’s prejudiced comments </w:t>
      </w:r>
      <w:r w:rsidR="007223A1">
        <w:rPr>
          <w:rStyle w:val="None"/>
          <w:rFonts w:ascii="Times New Roman" w:hAnsi="Times New Roman" w:cs="Times New Roman"/>
        </w:rPr>
        <w:t>echo</w:t>
      </w:r>
      <w:r w:rsidR="005A1C62">
        <w:rPr>
          <w:rStyle w:val="None"/>
          <w:rFonts w:ascii="Times New Roman" w:hAnsi="Times New Roman" w:cs="Times New Roman"/>
        </w:rPr>
        <w:t xml:space="preserve"> statements by </w:t>
      </w:r>
      <w:r w:rsidR="005A1C62" w:rsidRPr="005A1C62">
        <w:rPr>
          <w:rFonts w:ascii="Times New Roman" w:hAnsi="Times New Roman" w:cs="Times New Roman"/>
          <w:color w:val="000000"/>
        </w:rPr>
        <w:t>Erich Ludendorff, supreme commander of the German army during WWI, co-conspirator with Hitler</w:t>
      </w:r>
      <w:r w:rsidR="0038298D">
        <w:rPr>
          <w:rFonts w:ascii="Times New Roman" w:hAnsi="Times New Roman" w:cs="Times New Roman"/>
          <w:color w:val="000000"/>
        </w:rPr>
        <w:t>, and lifelong racist and anti-S</w:t>
      </w:r>
      <w:r w:rsidR="005A1C62" w:rsidRPr="005A1C62">
        <w:rPr>
          <w:rFonts w:ascii="Times New Roman" w:hAnsi="Times New Roman" w:cs="Times New Roman"/>
          <w:color w:val="000000"/>
        </w:rPr>
        <w:t>emite.</w:t>
      </w:r>
      <w:r w:rsidR="007223A1">
        <w:rPr>
          <w:rFonts w:ascii="Times New Roman" w:hAnsi="Times New Roman" w:cs="Times New Roman"/>
          <w:color w:val="000000"/>
        </w:rPr>
        <w:t xml:space="preserve"> </w:t>
      </w:r>
      <w:r w:rsidR="00CE0214">
        <w:rPr>
          <w:rFonts w:ascii="Times New Roman" w:hAnsi="Times New Roman" w:cs="Times New Roman"/>
          <w:color w:val="000000"/>
        </w:rPr>
        <w:t>Kristal</w:t>
      </w:r>
      <w:r w:rsidR="002A4DC9">
        <w:rPr>
          <w:rFonts w:ascii="Times New Roman" w:hAnsi="Times New Roman" w:cs="Times New Roman"/>
          <w:color w:val="000000"/>
        </w:rPr>
        <w:t xml:space="preserve"> </w:t>
      </w:r>
      <w:r w:rsidR="00CE0214">
        <w:rPr>
          <w:rFonts w:ascii="Times New Roman" w:hAnsi="Times New Roman" w:cs="Times New Roman"/>
          <w:color w:val="000000"/>
        </w:rPr>
        <w:t xml:space="preserve">also </w:t>
      </w:r>
      <w:r w:rsidR="002A4DC9">
        <w:rPr>
          <w:rFonts w:ascii="Times New Roman" w:hAnsi="Times New Roman" w:cs="Times New Roman"/>
          <w:color w:val="000000"/>
        </w:rPr>
        <w:t>demonstrates</w:t>
      </w:r>
      <w:r w:rsidR="00CE0214">
        <w:rPr>
          <w:rFonts w:ascii="Times New Roman" w:hAnsi="Times New Roman" w:cs="Times New Roman"/>
          <w:color w:val="000000"/>
        </w:rPr>
        <w:t xml:space="preserve"> Borges’s degree of familiarity with Ludendorff’s thought; Borges had, in the years preceding his writing of “Pierre Menard</w:t>
      </w:r>
      <w:r w:rsidR="00284116">
        <w:rPr>
          <w:rFonts w:ascii="Times New Roman" w:hAnsi="Times New Roman" w:cs="Times New Roman"/>
          <w:color w:val="000000"/>
        </w:rPr>
        <w:t>,</w:t>
      </w:r>
      <w:r w:rsidR="00CE0214">
        <w:rPr>
          <w:rFonts w:ascii="Times New Roman" w:hAnsi="Times New Roman" w:cs="Times New Roman"/>
          <w:color w:val="000000"/>
        </w:rPr>
        <w:t xml:space="preserve">” written </w:t>
      </w:r>
      <w:r w:rsidR="00D36FF1">
        <w:rPr>
          <w:rFonts w:ascii="Times New Roman" w:hAnsi="Times New Roman" w:cs="Times New Roman"/>
          <w:color w:val="000000"/>
        </w:rPr>
        <w:t>multiple</w:t>
      </w:r>
      <w:r w:rsidR="00CE0214">
        <w:rPr>
          <w:rFonts w:ascii="Times New Roman" w:hAnsi="Times New Roman" w:cs="Times New Roman"/>
          <w:color w:val="000000"/>
        </w:rPr>
        <w:t xml:space="preserve"> criticisms of Ludendorff’s prejudiced militarism.</w:t>
      </w:r>
      <w:r w:rsidR="00A27024">
        <w:rPr>
          <w:rStyle w:val="FootnoteReference"/>
          <w:rFonts w:ascii="Times New Roman" w:hAnsi="Times New Roman" w:cs="Times New Roman"/>
          <w:color w:val="000000"/>
        </w:rPr>
        <w:footnoteReference w:id="8"/>
      </w:r>
      <w:r w:rsidR="00031D3D">
        <w:rPr>
          <w:rFonts w:ascii="Times New Roman" w:hAnsi="Times New Roman" w:cs="Times New Roman"/>
          <w:color w:val="000000"/>
        </w:rPr>
        <w:t xml:space="preserve"> </w:t>
      </w:r>
      <w:r w:rsidR="0086352F">
        <w:rPr>
          <w:rFonts w:ascii="Times New Roman" w:hAnsi="Times New Roman" w:cs="Times New Roman"/>
          <w:color w:val="000000"/>
        </w:rPr>
        <w:t xml:space="preserve">Our Ludendorff-like narrator opens his necrological account by promising an authentic summary of Menard’s oeuvre, and invoking </w:t>
      </w:r>
      <w:r w:rsidR="0086352F">
        <w:rPr>
          <w:rFonts w:ascii="Times New Roman" w:hAnsi="Times New Roman" w:cs="Times New Roman"/>
          <w:color w:val="000000"/>
        </w:rPr>
        <w:lastRenderedPageBreak/>
        <w:t>the “altos testimonios” of his high-society patrons to supplement his “</w:t>
      </w:r>
      <w:proofErr w:type="spellStart"/>
      <w:r w:rsidR="0086352F">
        <w:rPr>
          <w:rFonts w:ascii="Times New Roman" w:hAnsi="Times New Roman" w:cs="Times New Roman"/>
          <w:color w:val="000000"/>
        </w:rPr>
        <w:t>pobre</w:t>
      </w:r>
      <w:proofErr w:type="spellEnd"/>
      <w:r w:rsidR="0086352F">
        <w:rPr>
          <w:rFonts w:ascii="Times New Roman" w:hAnsi="Times New Roman" w:cs="Times New Roman"/>
          <w:color w:val="000000"/>
        </w:rPr>
        <w:t xml:space="preserve"> </w:t>
      </w:r>
      <w:proofErr w:type="spellStart"/>
      <w:r w:rsidR="0086352F">
        <w:rPr>
          <w:rFonts w:ascii="Times New Roman" w:hAnsi="Times New Roman" w:cs="Times New Roman"/>
          <w:color w:val="000000"/>
        </w:rPr>
        <w:t>autoridad</w:t>
      </w:r>
      <w:proofErr w:type="spellEnd"/>
      <w:r w:rsidR="0086352F">
        <w:rPr>
          <w:rFonts w:ascii="Times New Roman" w:hAnsi="Times New Roman" w:cs="Times New Roman"/>
          <w:color w:val="000000"/>
        </w:rPr>
        <w:t xml:space="preserve">” (Borges, </w:t>
      </w:r>
      <w:r w:rsidR="00EA2809">
        <w:rPr>
          <w:rFonts w:ascii="Times New Roman" w:hAnsi="Times New Roman" w:cs="Times New Roman"/>
          <w:color w:val="000000"/>
        </w:rPr>
        <w:t xml:space="preserve">“Pierre Menard” 42). </w:t>
      </w:r>
      <w:r w:rsidR="00EC777D">
        <w:rPr>
          <w:rFonts w:ascii="Times New Roman" w:hAnsi="Times New Roman" w:cs="Times New Roman"/>
          <w:color w:val="000000"/>
        </w:rPr>
        <w:t>The obsession with genealogy is a troubling similarity between our narrator and the National Socialists</w:t>
      </w:r>
      <w:r w:rsidR="00284116">
        <w:rPr>
          <w:rFonts w:ascii="Times New Roman" w:hAnsi="Times New Roman" w:cs="Times New Roman"/>
          <w:color w:val="000000"/>
        </w:rPr>
        <w:t>—beyond a mere criticism of the social prejudices or pretentious tastes of his literary circle, Borges’s irony takes as its target the continuity of certain representations of prestige</w:t>
      </w:r>
      <w:r w:rsidR="00EC777D">
        <w:rPr>
          <w:rFonts w:ascii="Times New Roman" w:hAnsi="Times New Roman" w:cs="Times New Roman"/>
          <w:color w:val="000000"/>
        </w:rPr>
        <w:t xml:space="preserve"> </w:t>
      </w:r>
      <w:r w:rsidR="00284116">
        <w:rPr>
          <w:rFonts w:ascii="Times New Roman" w:hAnsi="Times New Roman" w:cs="Times New Roman"/>
          <w:color w:val="000000"/>
        </w:rPr>
        <w:t>and authenticity with the most violent forms of national and political identity formation.</w:t>
      </w:r>
    </w:p>
    <w:p w14:paraId="07B7B086" w14:textId="4334C33F" w:rsidR="005A1CB1" w:rsidRDefault="00284116" w:rsidP="005A1CB1">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On the basis of this connection, we can expand the scope of Borges’s irony to include some of the most celebrated themes of the story. </w:t>
      </w:r>
      <w:r w:rsidR="00BB421A">
        <w:rPr>
          <w:rFonts w:ascii="Times New Roman" w:hAnsi="Times New Roman" w:cs="Times New Roman"/>
          <w:color w:val="000000"/>
        </w:rPr>
        <w:t xml:space="preserve">This obsession with genetic authenticity places in question the narrator’s account of Menard’s most famous non-work, the </w:t>
      </w:r>
      <w:r w:rsidR="00BB421A">
        <w:rPr>
          <w:rFonts w:ascii="Times New Roman" w:hAnsi="Times New Roman" w:cs="Times New Roman"/>
          <w:i/>
          <w:color w:val="000000"/>
        </w:rPr>
        <w:t xml:space="preserve">Quixote. </w:t>
      </w:r>
      <w:r w:rsidR="0025104A">
        <w:rPr>
          <w:rFonts w:ascii="Times New Roman" w:hAnsi="Times New Roman" w:cs="Times New Roman"/>
          <w:color w:val="000000"/>
        </w:rPr>
        <w:t>According to our narrator</w:t>
      </w:r>
      <w:r w:rsidR="00C26431">
        <w:rPr>
          <w:rFonts w:ascii="Times New Roman" w:hAnsi="Times New Roman" w:cs="Times New Roman"/>
          <w:color w:val="000000"/>
        </w:rPr>
        <w:t>, Menard did not want to mechanically copy his chosen text, nor did he want to reconstruct Cervantes’s context to rediscover the work’s original impetus there.</w:t>
      </w:r>
      <w:r w:rsidR="00987EB1">
        <w:rPr>
          <w:rFonts w:ascii="Times New Roman" w:hAnsi="Times New Roman" w:cs="Times New Roman"/>
          <w:color w:val="000000"/>
        </w:rPr>
        <w:t xml:space="preserve"> Rather, he chose to operate by “continuing</w:t>
      </w:r>
      <w:r w:rsidR="00C26431">
        <w:rPr>
          <w:rFonts w:ascii="Times New Roman" w:hAnsi="Times New Roman" w:cs="Times New Roman"/>
          <w:color w:val="000000"/>
        </w:rPr>
        <w:t xml:space="preserve"> </w:t>
      </w:r>
      <w:r w:rsidR="00987EB1">
        <w:rPr>
          <w:rFonts w:ascii="Times New Roman" w:hAnsi="Times New Roman" w:cs="Times New Roman"/>
          <w:color w:val="000000"/>
        </w:rPr>
        <w:t xml:space="preserve">to be Pierre Menard and coming to the </w:t>
      </w:r>
      <w:r w:rsidR="00987EB1" w:rsidRPr="003F3222">
        <w:rPr>
          <w:rFonts w:ascii="Times New Roman" w:hAnsi="Times New Roman" w:cs="Times New Roman"/>
          <w:color w:val="000000"/>
        </w:rPr>
        <w:t>Quixote</w:t>
      </w:r>
      <w:r w:rsidR="00987EB1">
        <w:rPr>
          <w:rFonts w:ascii="Times New Roman" w:hAnsi="Times New Roman" w:cs="Times New Roman"/>
          <w:color w:val="000000"/>
        </w:rPr>
        <w:t xml:space="preserve"> </w:t>
      </w:r>
      <w:r w:rsidR="00987EB1">
        <w:rPr>
          <w:rFonts w:ascii="Times New Roman" w:hAnsi="Times New Roman" w:cs="Times New Roman"/>
          <w:i/>
          <w:color w:val="000000"/>
        </w:rPr>
        <w:t>through the experiences of Pierre Menard</w:t>
      </w:r>
      <w:r w:rsidR="00987EB1" w:rsidRPr="00987EB1">
        <w:rPr>
          <w:rFonts w:ascii="Times New Roman" w:hAnsi="Times New Roman" w:cs="Times New Roman"/>
          <w:color w:val="000000"/>
        </w:rPr>
        <w:t>” (</w:t>
      </w:r>
      <w:r w:rsidR="00987EB1">
        <w:rPr>
          <w:rFonts w:ascii="Times New Roman" w:hAnsi="Times New Roman" w:cs="Times New Roman"/>
          <w:color w:val="000000"/>
        </w:rPr>
        <w:t xml:space="preserve">Borges, </w:t>
      </w:r>
      <w:r w:rsidR="00F55EC9" w:rsidRPr="00F55EC9">
        <w:rPr>
          <w:rFonts w:ascii="Times New Roman" w:hAnsi="Times New Roman" w:cs="Times New Roman"/>
          <w:color w:val="000000"/>
        </w:rPr>
        <w:t>“</w:t>
      </w:r>
      <w:r w:rsidR="00F55EC9">
        <w:rPr>
          <w:rFonts w:ascii="Times New Roman" w:hAnsi="Times New Roman" w:cs="Times New Roman"/>
          <w:color w:val="000000"/>
        </w:rPr>
        <w:t>Pierre Menard”</w:t>
      </w:r>
      <w:r w:rsidR="00987EB1">
        <w:rPr>
          <w:rFonts w:ascii="Times New Roman" w:hAnsi="Times New Roman" w:cs="Times New Roman"/>
          <w:color w:val="000000"/>
        </w:rPr>
        <w:t xml:space="preserve"> 91). It is on the basis of this method that our narrator feels justified in reading the </w:t>
      </w:r>
      <w:r w:rsidR="00987EB1" w:rsidRPr="003F3222">
        <w:rPr>
          <w:rFonts w:ascii="Times New Roman" w:hAnsi="Times New Roman" w:cs="Times New Roman"/>
          <w:i/>
          <w:color w:val="000000"/>
        </w:rPr>
        <w:t>Quixote</w:t>
      </w:r>
      <w:r w:rsidR="00987EB1">
        <w:rPr>
          <w:rFonts w:ascii="Times New Roman" w:hAnsi="Times New Roman" w:cs="Times New Roman"/>
          <w:color w:val="000000"/>
        </w:rPr>
        <w:t xml:space="preserve"> as the product of a twentieth-century French symbolist</w:t>
      </w:r>
      <w:r w:rsidR="005A1CB1">
        <w:rPr>
          <w:rFonts w:ascii="Times New Roman" w:hAnsi="Times New Roman" w:cs="Times New Roman"/>
          <w:color w:val="000000"/>
        </w:rPr>
        <w:t xml:space="preserve">. But, if Menard has demonstrated anything, it is that the moment of creation of a text places no limits on how it can be read—the text by necessity breaks from any and every context. The idea that it remains tied to its creator and their intentions is precisely the sort of </w:t>
      </w:r>
      <w:proofErr w:type="spellStart"/>
      <w:r w:rsidR="005A1CB1">
        <w:rPr>
          <w:rFonts w:ascii="Times New Roman" w:hAnsi="Times New Roman" w:cs="Times New Roman"/>
          <w:color w:val="000000"/>
        </w:rPr>
        <w:t>geneticism</w:t>
      </w:r>
      <w:proofErr w:type="spellEnd"/>
      <w:r w:rsidR="005A1CB1">
        <w:rPr>
          <w:rFonts w:ascii="Times New Roman" w:hAnsi="Times New Roman" w:cs="Times New Roman"/>
          <w:color w:val="000000"/>
        </w:rPr>
        <w:t xml:space="preserve"> that Borges is ironizing throughout the story, in so many forms.</w:t>
      </w:r>
    </w:p>
    <w:p w14:paraId="2CFBB90E" w14:textId="77777777" w:rsidR="003F3222" w:rsidRDefault="00350DC7" w:rsidP="002D121B">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James Irby </w:t>
      </w:r>
      <w:r w:rsidR="00F822A0">
        <w:rPr>
          <w:rFonts w:ascii="Times New Roman" w:hAnsi="Times New Roman" w:cs="Times New Roman"/>
          <w:color w:val="000000"/>
        </w:rPr>
        <w:t>goes further than other readers in tying the narrator’s prejudices to his reading of Menard’s corpus, and notes an interesting progression in th</w:t>
      </w:r>
      <w:r w:rsidR="003F3222">
        <w:rPr>
          <w:rFonts w:ascii="Times New Roman" w:hAnsi="Times New Roman" w:cs="Times New Roman"/>
          <w:color w:val="000000"/>
        </w:rPr>
        <w:t xml:space="preserve">e narrator’s views. Irby writes: </w:t>
      </w:r>
    </w:p>
    <w:p w14:paraId="4FF726A7" w14:textId="59C34BEE" w:rsidR="003F3222" w:rsidRDefault="00F822A0" w:rsidP="003F3222">
      <w:pPr>
        <w:ind w:left="720"/>
        <w:rPr>
          <w:rFonts w:ascii="Times New Roman" w:hAnsi="Times New Roman" w:cs="Times New Roman"/>
          <w:color w:val="000000"/>
        </w:rPr>
      </w:pPr>
      <w:r>
        <w:rPr>
          <w:rFonts w:ascii="Times New Roman" w:hAnsi="Times New Roman" w:cs="Times New Roman"/>
          <w:color w:val="000000"/>
        </w:rPr>
        <w:t xml:space="preserve">The commentator certainly begins as one [a vain reader], opening with his pedantic, bigoted, racist claims to possess the only truth about Menard’s work. But what happens along the way, where has our snob gone by the end, when his commentary calmly and ecumenically proposes we read the </w:t>
      </w:r>
      <w:r>
        <w:rPr>
          <w:rFonts w:ascii="Times New Roman" w:hAnsi="Times New Roman" w:cs="Times New Roman"/>
          <w:i/>
          <w:color w:val="000000"/>
        </w:rPr>
        <w:t xml:space="preserve">De </w:t>
      </w:r>
      <w:proofErr w:type="spellStart"/>
      <w:r>
        <w:rPr>
          <w:rFonts w:ascii="Times New Roman" w:hAnsi="Times New Roman" w:cs="Times New Roman"/>
          <w:i/>
          <w:color w:val="000000"/>
        </w:rPr>
        <w:t>imitatione</w:t>
      </w:r>
      <w:proofErr w:type="spellEnd"/>
      <w:r>
        <w:rPr>
          <w:rFonts w:ascii="Times New Roman" w:hAnsi="Times New Roman" w:cs="Times New Roman"/>
          <w:i/>
          <w:color w:val="000000"/>
        </w:rPr>
        <w:t xml:space="preserve"> Christi </w:t>
      </w:r>
      <w:r>
        <w:rPr>
          <w:rFonts w:ascii="Times New Roman" w:hAnsi="Times New Roman" w:cs="Times New Roman"/>
          <w:color w:val="000000"/>
        </w:rPr>
        <w:t xml:space="preserve">as if it had been written by the anti-Semite Céline </w:t>
      </w:r>
      <w:r w:rsidR="003F3222">
        <w:rPr>
          <w:rFonts w:ascii="Times New Roman" w:hAnsi="Times New Roman" w:cs="Times New Roman"/>
          <w:color w:val="000000"/>
        </w:rPr>
        <w:t>or the renegade Catholic Joyce?</w:t>
      </w:r>
      <w:r w:rsidR="002D121B">
        <w:rPr>
          <w:rFonts w:ascii="Times New Roman" w:hAnsi="Times New Roman" w:cs="Times New Roman"/>
          <w:color w:val="000000"/>
        </w:rPr>
        <w:t xml:space="preserve"> </w:t>
      </w:r>
      <w:r w:rsidR="0025104A">
        <w:rPr>
          <w:rFonts w:ascii="Times New Roman" w:hAnsi="Times New Roman" w:cs="Times New Roman"/>
          <w:color w:val="000000"/>
        </w:rPr>
        <w:t>(“Some Notes”)</w:t>
      </w:r>
    </w:p>
    <w:p w14:paraId="5792A2F8" w14:textId="344147A1" w:rsidR="00350DC7" w:rsidRDefault="00BC6A47" w:rsidP="003F3222">
      <w:pPr>
        <w:spacing w:line="480" w:lineRule="auto"/>
        <w:rPr>
          <w:rFonts w:ascii="Times New Roman" w:hAnsi="Times New Roman" w:cs="Times New Roman"/>
          <w:color w:val="000000"/>
        </w:rPr>
      </w:pPr>
      <w:r>
        <w:rPr>
          <w:rFonts w:ascii="Times New Roman" w:hAnsi="Times New Roman" w:cs="Times New Roman"/>
          <w:color w:val="000000"/>
        </w:rPr>
        <w:lastRenderedPageBreak/>
        <w:t>In this spirit, w</w:t>
      </w:r>
      <w:r w:rsidR="002D121B">
        <w:rPr>
          <w:rFonts w:ascii="Times New Roman" w:hAnsi="Times New Roman" w:cs="Times New Roman"/>
          <w:color w:val="000000"/>
        </w:rPr>
        <w:t xml:space="preserve">e can mark three stages in </w:t>
      </w:r>
      <w:r w:rsidR="007B1CA6">
        <w:rPr>
          <w:rFonts w:ascii="Times New Roman" w:hAnsi="Times New Roman" w:cs="Times New Roman"/>
          <w:color w:val="000000"/>
        </w:rPr>
        <w:t>the narrator’s methodology: 1) T</w:t>
      </w:r>
      <w:r w:rsidR="002D121B">
        <w:rPr>
          <w:rFonts w:ascii="Times New Roman" w:hAnsi="Times New Roman" w:cs="Times New Roman"/>
          <w:color w:val="000000"/>
        </w:rPr>
        <w:t xml:space="preserve">he assumption that the meaning of Menard’s </w:t>
      </w:r>
      <w:r w:rsidR="002D121B">
        <w:rPr>
          <w:rFonts w:ascii="Times New Roman" w:hAnsi="Times New Roman" w:cs="Times New Roman"/>
          <w:i/>
          <w:color w:val="000000"/>
        </w:rPr>
        <w:t>Quixote</w:t>
      </w:r>
      <w:r w:rsidR="002D121B">
        <w:rPr>
          <w:rFonts w:ascii="Times New Roman" w:hAnsi="Times New Roman" w:cs="Times New Roman"/>
          <w:color w:val="000000"/>
        </w:rPr>
        <w:t xml:space="preserve"> stems from the context and intentions of its creation </w:t>
      </w:r>
      <w:r w:rsidR="007B1CA6">
        <w:rPr>
          <w:rFonts w:ascii="Times New Roman" w:hAnsi="Times New Roman" w:cs="Times New Roman"/>
          <w:color w:val="000000"/>
        </w:rPr>
        <w:t>2) H</w:t>
      </w:r>
      <w:r w:rsidR="002D121B">
        <w:rPr>
          <w:rFonts w:ascii="Times New Roman" w:hAnsi="Times New Roman" w:cs="Times New Roman"/>
          <w:color w:val="000000"/>
        </w:rPr>
        <w:t xml:space="preserve">is considering the possibility, on the basis of the two-and-a-fraction chapters written by Menard, that the entire book can be read as though it was written by Menard (“Shall I confess that I often imagine that he did complete it, and that I read the Quixote—the </w:t>
      </w:r>
      <w:r w:rsidR="002D121B">
        <w:rPr>
          <w:rFonts w:ascii="Times New Roman" w:hAnsi="Times New Roman" w:cs="Times New Roman"/>
          <w:i/>
          <w:color w:val="000000"/>
        </w:rPr>
        <w:t>entire</w:t>
      </w:r>
      <w:r w:rsidR="002D121B">
        <w:rPr>
          <w:rFonts w:ascii="Times New Roman" w:hAnsi="Times New Roman" w:cs="Times New Roman"/>
          <w:color w:val="000000"/>
        </w:rPr>
        <w:t xml:space="preserve"> Quixote—as if Menard had conceived it?” (92)) 3) The concluding paragraph, where the possibility of reading any work as written by any author, “the technique of deliberate anachronism and fallacious attribution</w:t>
      </w:r>
      <w:r w:rsidR="008D7712">
        <w:rPr>
          <w:rFonts w:ascii="Times New Roman" w:hAnsi="Times New Roman" w:cs="Times New Roman"/>
          <w:color w:val="000000"/>
        </w:rPr>
        <w:t>,</w:t>
      </w:r>
      <w:r w:rsidR="002D121B">
        <w:rPr>
          <w:rFonts w:ascii="Times New Roman" w:hAnsi="Times New Roman" w:cs="Times New Roman"/>
          <w:color w:val="000000"/>
        </w:rPr>
        <w:t>”</w:t>
      </w:r>
      <w:r w:rsidR="008D7712">
        <w:rPr>
          <w:rFonts w:ascii="Times New Roman" w:hAnsi="Times New Roman" w:cs="Times New Roman"/>
          <w:color w:val="000000"/>
        </w:rPr>
        <w:t xml:space="preserve"> comes to the fore</w:t>
      </w:r>
      <w:r w:rsidR="002D121B">
        <w:rPr>
          <w:rFonts w:ascii="Times New Roman" w:hAnsi="Times New Roman" w:cs="Times New Roman"/>
          <w:color w:val="000000"/>
        </w:rPr>
        <w:t xml:space="preserve"> (95).</w:t>
      </w:r>
      <w:r w:rsidR="00E941E2">
        <w:rPr>
          <w:rFonts w:ascii="Times New Roman" w:hAnsi="Times New Roman" w:cs="Times New Roman"/>
          <w:color w:val="000000"/>
        </w:rPr>
        <w:t xml:space="preserve"> These stages </w:t>
      </w:r>
      <w:r w:rsidR="00935261">
        <w:rPr>
          <w:rFonts w:ascii="Times New Roman" w:hAnsi="Times New Roman" w:cs="Times New Roman"/>
          <w:color w:val="000000"/>
        </w:rPr>
        <w:t xml:space="preserve">are a progressive severing of the text’s </w:t>
      </w:r>
      <w:r w:rsidR="00E941E2">
        <w:rPr>
          <w:rFonts w:ascii="Times New Roman" w:hAnsi="Times New Roman" w:cs="Times New Roman"/>
          <w:color w:val="000000"/>
        </w:rPr>
        <w:t>natal bond to the moment of its creation. Whether we advance from an ironic stance to Borges’s true position on the subject will require</w:t>
      </w:r>
      <w:r w:rsidR="008929D3">
        <w:rPr>
          <w:rFonts w:ascii="Times New Roman" w:hAnsi="Times New Roman" w:cs="Times New Roman"/>
          <w:color w:val="000000"/>
        </w:rPr>
        <w:t xml:space="preserve"> a</w:t>
      </w:r>
      <w:r w:rsidR="00E941E2">
        <w:rPr>
          <w:rFonts w:ascii="Times New Roman" w:hAnsi="Times New Roman" w:cs="Times New Roman"/>
          <w:color w:val="000000"/>
        </w:rPr>
        <w:t xml:space="preserve"> more careful analysis.</w:t>
      </w:r>
    </w:p>
    <w:p w14:paraId="2F82D6D1" w14:textId="58C1D626" w:rsidR="00E56C25" w:rsidRDefault="0025104A" w:rsidP="00E56C25">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Though </w:t>
      </w:r>
      <w:r w:rsidR="00A44CE6">
        <w:rPr>
          <w:rFonts w:ascii="Times New Roman" w:hAnsi="Times New Roman" w:cs="Times New Roman"/>
          <w:color w:val="000000"/>
        </w:rPr>
        <w:t>this unmooring places in question a</w:t>
      </w:r>
      <w:r w:rsidR="00D7656A">
        <w:rPr>
          <w:rFonts w:ascii="Times New Roman" w:hAnsi="Times New Roman" w:cs="Times New Roman"/>
          <w:color w:val="000000"/>
        </w:rPr>
        <w:t>ny</w:t>
      </w:r>
      <w:r w:rsidR="00A44CE6">
        <w:rPr>
          <w:rFonts w:ascii="Times New Roman" w:hAnsi="Times New Roman" w:cs="Times New Roman"/>
          <w:color w:val="000000"/>
        </w:rPr>
        <w:t xml:space="preserve"> search for the historical predecessors, namesakes, or models of Menard, </w:t>
      </w:r>
      <w:r w:rsidR="00983DDB">
        <w:rPr>
          <w:rFonts w:ascii="Times New Roman" w:hAnsi="Times New Roman" w:cs="Times New Roman"/>
          <w:color w:val="000000"/>
        </w:rPr>
        <w:t xml:space="preserve">Borges shapes Pierre Menard’s biography </w:t>
      </w:r>
      <w:r w:rsidR="00A44CE6">
        <w:rPr>
          <w:rFonts w:ascii="Times New Roman" w:hAnsi="Times New Roman" w:cs="Times New Roman"/>
          <w:color w:val="000000"/>
        </w:rPr>
        <w:t xml:space="preserve">to form </w:t>
      </w:r>
      <w:r w:rsidR="00983DDB">
        <w:rPr>
          <w:rFonts w:ascii="Times New Roman" w:hAnsi="Times New Roman" w:cs="Times New Roman"/>
          <w:color w:val="000000"/>
        </w:rPr>
        <w:t xml:space="preserve">historical connections </w:t>
      </w:r>
      <w:r w:rsidR="00A44CE6">
        <w:rPr>
          <w:rFonts w:ascii="Times New Roman" w:hAnsi="Times New Roman" w:cs="Times New Roman"/>
          <w:color w:val="000000"/>
        </w:rPr>
        <w:t xml:space="preserve">that </w:t>
      </w:r>
      <w:r w:rsidR="00983DDB">
        <w:rPr>
          <w:rFonts w:ascii="Times New Roman" w:hAnsi="Times New Roman" w:cs="Times New Roman"/>
          <w:color w:val="000000"/>
        </w:rPr>
        <w:t xml:space="preserve">are </w:t>
      </w:r>
      <w:r w:rsidR="00A44CE6">
        <w:rPr>
          <w:rFonts w:ascii="Times New Roman" w:hAnsi="Times New Roman" w:cs="Times New Roman"/>
          <w:color w:val="000000"/>
        </w:rPr>
        <w:t xml:space="preserve">in turn </w:t>
      </w:r>
      <w:r w:rsidR="00983DDB">
        <w:rPr>
          <w:rFonts w:ascii="Times New Roman" w:hAnsi="Times New Roman" w:cs="Times New Roman"/>
          <w:color w:val="000000"/>
        </w:rPr>
        <w:t>complicated by the story’s irony.</w:t>
      </w:r>
      <w:r w:rsidR="004C5B4F">
        <w:rPr>
          <w:rFonts w:ascii="Times New Roman" w:hAnsi="Times New Roman" w:cs="Times New Roman"/>
          <w:color w:val="000000"/>
        </w:rPr>
        <w:t xml:space="preserve"> </w:t>
      </w:r>
      <w:r w:rsidR="0055114C">
        <w:rPr>
          <w:rFonts w:ascii="Times New Roman" w:hAnsi="Times New Roman" w:cs="Times New Roman"/>
          <w:color w:val="000000"/>
        </w:rPr>
        <w:t xml:space="preserve">In </w:t>
      </w:r>
      <w:r w:rsidR="0055114C">
        <w:rPr>
          <w:rFonts w:ascii="Times New Roman" w:hAnsi="Times New Roman" w:cs="Times New Roman"/>
          <w:i/>
          <w:color w:val="000000"/>
        </w:rPr>
        <w:t xml:space="preserve">Out of Context </w:t>
      </w:r>
      <w:r w:rsidR="0055114C">
        <w:rPr>
          <w:rFonts w:ascii="Times New Roman" w:hAnsi="Times New Roman" w:cs="Times New Roman"/>
          <w:color w:val="000000"/>
        </w:rPr>
        <w:t>and “</w:t>
      </w:r>
      <w:r w:rsidR="001B7DD8">
        <w:rPr>
          <w:rFonts w:ascii="Times New Roman" w:hAnsi="Times New Roman" w:cs="Times New Roman"/>
          <w:color w:val="000000"/>
        </w:rPr>
        <w:t>‘</w:t>
      </w:r>
      <w:r w:rsidR="0055114C">
        <w:rPr>
          <w:rFonts w:ascii="Times New Roman" w:hAnsi="Times New Roman" w:cs="Times New Roman"/>
          <w:color w:val="000000"/>
        </w:rPr>
        <w:t>His Insect-Like Handwriting,’” Daniel Balderston has unearthed the fascinating resonances between the Pierre Menard of Borges’s story and a contemporary, eponymous</w:t>
      </w:r>
      <w:r w:rsidR="00BF6CE8">
        <w:rPr>
          <w:rFonts w:ascii="Times New Roman" w:hAnsi="Times New Roman" w:cs="Times New Roman"/>
          <w:color w:val="000000"/>
        </w:rPr>
        <w:t xml:space="preserve"> psychoanalyst and graphologist</w:t>
      </w:r>
      <w:r w:rsidR="0055114C">
        <w:rPr>
          <w:rFonts w:ascii="Times New Roman" w:hAnsi="Times New Roman" w:cs="Times New Roman"/>
          <w:color w:val="000000"/>
        </w:rPr>
        <w:t>.</w:t>
      </w:r>
      <w:r w:rsidR="000716A8">
        <w:rPr>
          <w:rFonts w:ascii="Times New Roman" w:hAnsi="Times New Roman" w:cs="Times New Roman"/>
          <w:color w:val="000000"/>
        </w:rPr>
        <w:t xml:space="preserve"> Among the noteworthy similarities in their style, Balderston points out that the historical Menard’s method included tracing the handwriting of his analysand, blurring the lines between analysis and forgery</w:t>
      </w:r>
      <w:r w:rsidR="00A423E1">
        <w:rPr>
          <w:rFonts w:ascii="Times New Roman" w:hAnsi="Times New Roman" w:cs="Times New Roman"/>
          <w:color w:val="000000"/>
        </w:rPr>
        <w:t xml:space="preserve"> (</w:t>
      </w:r>
      <w:r w:rsidR="00A423E1">
        <w:rPr>
          <w:rFonts w:ascii="Times New Roman" w:hAnsi="Times New Roman" w:cs="Times New Roman"/>
          <w:i/>
          <w:color w:val="000000"/>
        </w:rPr>
        <w:t xml:space="preserve">Out of Context </w:t>
      </w:r>
      <w:r w:rsidR="00A423E1">
        <w:rPr>
          <w:rFonts w:ascii="Times New Roman" w:hAnsi="Times New Roman" w:cs="Times New Roman"/>
          <w:color w:val="000000"/>
        </w:rPr>
        <w:t>38)</w:t>
      </w:r>
      <w:r w:rsidR="000716A8">
        <w:rPr>
          <w:rFonts w:ascii="Times New Roman" w:hAnsi="Times New Roman" w:cs="Times New Roman"/>
          <w:color w:val="000000"/>
        </w:rPr>
        <w:t>.</w:t>
      </w:r>
      <w:r w:rsidR="00A423E1">
        <w:rPr>
          <w:rFonts w:ascii="Times New Roman" w:hAnsi="Times New Roman" w:cs="Times New Roman"/>
          <w:color w:val="000000"/>
        </w:rPr>
        <w:t xml:space="preserve"> </w:t>
      </w:r>
      <w:r w:rsidR="001A6639">
        <w:rPr>
          <w:rFonts w:ascii="Times New Roman" w:hAnsi="Times New Roman" w:cs="Times New Roman"/>
          <w:color w:val="000000"/>
        </w:rPr>
        <w:t xml:space="preserve">Is it any wonder, given Lacan’s </w:t>
      </w:r>
      <w:r w:rsidR="001B7DD8">
        <w:rPr>
          <w:rFonts w:ascii="Times New Roman" w:hAnsi="Times New Roman" w:cs="Times New Roman"/>
          <w:color w:val="000000"/>
        </w:rPr>
        <w:t>focus</w:t>
      </w:r>
      <w:r w:rsidR="001A6639">
        <w:rPr>
          <w:rFonts w:ascii="Times New Roman" w:hAnsi="Times New Roman" w:cs="Times New Roman"/>
          <w:color w:val="000000"/>
        </w:rPr>
        <w:t xml:space="preserve"> on the agency of the letter in the unconscious, that Menard’s son Augustin became a Lacanian analyst practicing in </w:t>
      </w:r>
      <w:proofErr w:type="spellStart"/>
      <w:r w:rsidR="001A6639">
        <w:rPr>
          <w:rFonts w:ascii="Times New Roman" w:hAnsi="Times New Roman" w:cs="Times New Roman"/>
          <w:color w:val="000000"/>
        </w:rPr>
        <w:t>Nîmes</w:t>
      </w:r>
      <w:proofErr w:type="spellEnd"/>
      <w:r w:rsidR="001A6639">
        <w:rPr>
          <w:rFonts w:ascii="Times New Roman" w:hAnsi="Times New Roman" w:cs="Times New Roman"/>
          <w:color w:val="000000"/>
        </w:rPr>
        <w:t xml:space="preserve"> (“Insect-Like Handwriting” 126)?</w:t>
      </w:r>
      <w:r w:rsidR="00A423E1">
        <w:rPr>
          <w:rFonts w:ascii="Times New Roman" w:hAnsi="Times New Roman" w:cs="Times New Roman"/>
          <w:color w:val="000000"/>
        </w:rPr>
        <w:t xml:space="preserve"> </w:t>
      </w:r>
      <w:proofErr w:type="spellStart"/>
      <w:r w:rsidR="00055058">
        <w:rPr>
          <w:rFonts w:ascii="Times New Roman" w:hAnsi="Times New Roman" w:cs="Times New Roman"/>
          <w:color w:val="000000"/>
        </w:rPr>
        <w:t>Monegal</w:t>
      </w:r>
      <w:proofErr w:type="spellEnd"/>
      <w:r w:rsidR="00055058">
        <w:rPr>
          <w:rFonts w:ascii="Times New Roman" w:hAnsi="Times New Roman" w:cs="Times New Roman"/>
          <w:color w:val="000000"/>
        </w:rPr>
        <w:t xml:space="preserve"> also notes a Louis </w:t>
      </w:r>
      <w:proofErr w:type="spellStart"/>
      <w:r w:rsidR="00055058">
        <w:rPr>
          <w:rFonts w:ascii="Times New Roman" w:hAnsi="Times New Roman" w:cs="Times New Roman"/>
          <w:color w:val="000000"/>
        </w:rPr>
        <w:t>M</w:t>
      </w:r>
      <w:r w:rsidR="0026415C">
        <w:rPr>
          <w:rFonts w:ascii="Times New Roman" w:hAnsi="Times New Roman" w:cs="Times New Roman"/>
          <w:color w:val="000000"/>
        </w:rPr>
        <w:t>énard</w:t>
      </w:r>
      <w:proofErr w:type="spellEnd"/>
      <w:r w:rsidR="0026415C">
        <w:rPr>
          <w:rFonts w:ascii="Times New Roman" w:hAnsi="Times New Roman" w:cs="Times New Roman"/>
          <w:color w:val="000000"/>
        </w:rPr>
        <w:t xml:space="preserve"> (</w:t>
      </w:r>
      <w:r w:rsidR="00055058">
        <w:rPr>
          <w:rFonts w:ascii="Times New Roman" w:hAnsi="Times New Roman" w:cs="Times New Roman"/>
          <w:color w:val="000000"/>
        </w:rPr>
        <w:t xml:space="preserve">whom </w:t>
      </w:r>
      <w:r w:rsidR="0026415C">
        <w:rPr>
          <w:rFonts w:ascii="Times New Roman" w:hAnsi="Times New Roman" w:cs="Times New Roman"/>
          <w:color w:val="000000"/>
        </w:rPr>
        <w:t xml:space="preserve">Rosa </w:t>
      </w:r>
      <w:proofErr w:type="spellStart"/>
      <w:r w:rsidR="0026415C">
        <w:rPr>
          <w:rFonts w:ascii="Times New Roman" w:hAnsi="Times New Roman" w:cs="Times New Roman"/>
          <w:color w:val="000000"/>
        </w:rPr>
        <w:t>Pellicer</w:t>
      </w:r>
      <w:proofErr w:type="spellEnd"/>
      <w:r w:rsidR="0026415C">
        <w:rPr>
          <w:rFonts w:ascii="Times New Roman" w:hAnsi="Times New Roman" w:cs="Times New Roman"/>
          <w:color w:val="000000"/>
        </w:rPr>
        <w:t xml:space="preserve"> claims is the father or grandfather of the graphologist Pierre (243)), whose literary games included authoring lost classics such as Aeschylus’s </w:t>
      </w:r>
      <w:r w:rsidR="0026415C">
        <w:rPr>
          <w:rFonts w:ascii="Times New Roman" w:hAnsi="Times New Roman" w:cs="Times New Roman"/>
          <w:i/>
          <w:color w:val="000000"/>
        </w:rPr>
        <w:t>Prometheus Unbound</w:t>
      </w:r>
      <w:r w:rsidR="0026415C">
        <w:rPr>
          <w:rFonts w:ascii="Times New Roman" w:hAnsi="Times New Roman" w:cs="Times New Roman"/>
          <w:color w:val="000000"/>
        </w:rPr>
        <w:t xml:space="preserve">, almost sneaking his own composition into a collected works of Diderot, and an anachronistic reading </w:t>
      </w:r>
      <w:r w:rsidR="0026415C">
        <w:rPr>
          <w:rFonts w:ascii="Times New Roman" w:hAnsi="Times New Roman" w:cs="Times New Roman"/>
          <w:color w:val="000000"/>
        </w:rPr>
        <w:lastRenderedPageBreak/>
        <w:t xml:space="preserve">practice that blended the works of Homer and Shakespeare (123). </w:t>
      </w:r>
      <w:r w:rsidR="00BC49DD">
        <w:rPr>
          <w:rFonts w:ascii="Times New Roman" w:hAnsi="Times New Roman" w:cs="Times New Roman"/>
          <w:color w:val="000000"/>
        </w:rPr>
        <w:t xml:space="preserve">Borges has offered one hint as to how he chose the </w:t>
      </w:r>
      <w:r w:rsidR="00E56C25">
        <w:rPr>
          <w:rFonts w:ascii="Times New Roman" w:hAnsi="Times New Roman" w:cs="Times New Roman"/>
          <w:color w:val="000000"/>
        </w:rPr>
        <w:t xml:space="preserve">name—as </w:t>
      </w:r>
      <w:proofErr w:type="spellStart"/>
      <w:r w:rsidR="00BC6A47">
        <w:rPr>
          <w:rFonts w:ascii="Times New Roman" w:hAnsi="Times New Roman" w:cs="Times New Roman"/>
          <w:color w:val="000000"/>
        </w:rPr>
        <w:t>Bioy</w:t>
      </w:r>
      <w:proofErr w:type="spellEnd"/>
      <w:r w:rsidR="00BC6A47">
        <w:rPr>
          <w:rFonts w:ascii="Times New Roman" w:hAnsi="Times New Roman" w:cs="Times New Roman"/>
          <w:color w:val="000000"/>
        </w:rPr>
        <w:t xml:space="preserve"> </w:t>
      </w:r>
      <w:proofErr w:type="spellStart"/>
      <w:r w:rsidR="00BC6A47">
        <w:rPr>
          <w:rFonts w:ascii="Times New Roman" w:hAnsi="Times New Roman" w:cs="Times New Roman"/>
          <w:color w:val="000000"/>
        </w:rPr>
        <w:t>Casares</w:t>
      </w:r>
      <w:proofErr w:type="spellEnd"/>
      <w:r w:rsidR="00BC6A47">
        <w:rPr>
          <w:rFonts w:ascii="Times New Roman" w:hAnsi="Times New Roman" w:cs="Times New Roman"/>
          <w:color w:val="000000"/>
        </w:rPr>
        <w:t xml:space="preserve"> recounts</w:t>
      </w:r>
      <w:r w:rsidR="00E56C25">
        <w:rPr>
          <w:rFonts w:ascii="Times New Roman" w:hAnsi="Times New Roman" w:cs="Times New Roman"/>
          <w:color w:val="000000"/>
        </w:rPr>
        <w:t xml:space="preserve">, “Dice que </w:t>
      </w:r>
      <w:proofErr w:type="spellStart"/>
      <w:r w:rsidR="00E56C25">
        <w:rPr>
          <w:rFonts w:ascii="Times New Roman" w:hAnsi="Times New Roman" w:cs="Times New Roman"/>
          <w:color w:val="000000"/>
        </w:rPr>
        <w:t>eligió</w:t>
      </w:r>
      <w:proofErr w:type="spellEnd"/>
      <w:r w:rsidR="00E56C25">
        <w:rPr>
          <w:rFonts w:ascii="Times New Roman" w:hAnsi="Times New Roman" w:cs="Times New Roman"/>
          <w:color w:val="000000"/>
        </w:rPr>
        <w:t xml:space="preserve"> ese </w:t>
      </w:r>
      <w:proofErr w:type="spellStart"/>
      <w:r w:rsidR="00E56C25">
        <w:rPr>
          <w:rFonts w:ascii="Times New Roman" w:hAnsi="Times New Roman" w:cs="Times New Roman"/>
          <w:color w:val="000000"/>
        </w:rPr>
        <w:t>nombre</w:t>
      </w:r>
      <w:proofErr w:type="spellEnd"/>
      <w:r w:rsidR="00E56C25">
        <w:rPr>
          <w:rFonts w:ascii="Times New Roman" w:hAnsi="Times New Roman" w:cs="Times New Roman"/>
          <w:color w:val="000000"/>
        </w:rPr>
        <w:t xml:space="preserve"> </w:t>
      </w:r>
      <w:proofErr w:type="spellStart"/>
      <w:r w:rsidR="00E56C25">
        <w:rPr>
          <w:rFonts w:ascii="Times New Roman" w:hAnsi="Times New Roman" w:cs="Times New Roman"/>
          <w:color w:val="000000"/>
        </w:rPr>
        <w:t>porque</w:t>
      </w:r>
      <w:proofErr w:type="spellEnd"/>
      <w:r w:rsidR="00E56C25">
        <w:rPr>
          <w:rFonts w:ascii="Times New Roman" w:hAnsi="Times New Roman" w:cs="Times New Roman"/>
          <w:color w:val="000000"/>
        </w:rPr>
        <w:t xml:space="preserve"> </w:t>
      </w:r>
      <w:proofErr w:type="spellStart"/>
      <w:r w:rsidR="00E56C25">
        <w:rPr>
          <w:rFonts w:ascii="Times New Roman" w:hAnsi="Times New Roman" w:cs="Times New Roman"/>
          <w:color w:val="000000"/>
        </w:rPr>
        <w:t>había</w:t>
      </w:r>
      <w:proofErr w:type="spellEnd"/>
      <w:r w:rsidR="00E56C25">
        <w:rPr>
          <w:rFonts w:ascii="Times New Roman" w:hAnsi="Times New Roman" w:cs="Times New Roman"/>
          <w:color w:val="000000"/>
        </w:rPr>
        <w:t xml:space="preserve"> </w:t>
      </w:r>
      <w:proofErr w:type="spellStart"/>
      <w:r w:rsidR="00E56C25">
        <w:rPr>
          <w:rFonts w:ascii="Times New Roman" w:hAnsi="Times New Roman" w:cs="Times New Roman"/>
          <w:color w:val="000000"/>
        </w:rPr>
        <w:t>más</w:t>
      </w:r>
      <w:proofErr w:type="spellEnd"/>
      <w:r w:rsidR="00E56C25">
        <w:rPr>
          <w:rFonts w:ascii="Times New Roman" w:hAnsi="Times New Roman" w:cs="Times New Roman"/>
          <w:color w:val="000000"/>
        </w:rPr>
        <w:t xml:space="preserve"> de un </w:t>
      </w:r>
      <w:proofErr w:type="spellStart"/>
      <w:r w:rsidR="00E56C25">
        <w:rPr>
          <w:rFonts w:ascii="Times New Roman" w:hAnsi="Times New Roman" w:cs="Times New Roman"/>
          <w:color w:val="000000"/>
        </w:rPr>
        <w:t>Ménard</w:t>
      </w:r>
      <w:proofErr w:type="spellEnd"/>
      <w:r w:rsidR="00E56C25">
        <w:rPr>
          <w:rFonts w:ascii="Times New Roman" w:hAnsi="Times New Roman" w:cs="Times New Roman"/>
          <w:color w:val="000000"/>
        </w:rPr>
        <w:t xml:space="preserve"> </w:t>
      </w:r>
      <w:proofErr w:type="spellStart"/>
      <w:r w:rsidR="00E56C25">
        <w:rPr>
          <w:rFonts w:ascii="Times New Roman" w:hAnsi="Times New Roman" w:cs="Times New Roman"/>
          <w:color w:val="000000"/>
        </w:rPr>
        <w:t>en</w:t>
      </w:r>
      <w:proofErr w:type="spellEnd"/>
      <w:r w:rsidR="00E56C25">
        <w:rPr>
          <w:rFonts w:ascii="Times New Roman" w:hAnsi="Times New Roman" w:cs="Times New Roman"/>
          <w:color w:val="000000"/>
        </w:rPr>
        <w:t xml:space="preserve"> la literature </w:t>
      </w:r>
      <w:proofErr w:type="spellStart"/>
      <w:r w:rsidR="00E56C25">
        <w:rPr>
          <w:rFonts w:ascii="Times New Roman" w:hAnsi="Times New Roman" w:cs="Times New Roman"/>
          <w:color w:val="000000"/>
        </w:rPr>
        <w:t>francesa</w:t>
      </w:r>
      <w:proofErr w:type="spellEnd"/>
      <w:r w:rsidR="00E56C25">
        <w:rPr>
          <w:rFonts w:ascii="Times New Roman" w:hAnsi="Times New Roman" w:cs="Times New Roman"/>
          <w:color w:val="000000"/>
        </w:rPr>
        <w:t xml:space="preserve"> y </w:t>
      </w:r>
      <w:proofErr w:type="spellStart"/>
      <w:r w:rsidR="00E56C25">
        <w:rPr>
          <w:rFonts w:ascii="Times New Roman" w:hAnsi="Times New Roman" w:cs="Times New Roman"/>
          <w:color w:val="000000"/>
        </w:rPr>
        <w:t>quería</w:t>
      </w:r>
      <w:proofErr w:type="spellEnd"/>
      <w:r w:rsidR="00E56C25">
        <w:rPr>
          <w:rFonts w:ascii="Times New Roman" w:hAnsi="Times New Roman" w:cs="Times New Roman"/>
          <w:color w:val="000000"/>
        </w:rPr>
        <w:t xml:space="preserve"> </w:t>
      </w:r>
      <w:proofErr w:type="spellStart"/>
      <w:r w:rsidR="00E56C25">
        <w:rPr>
          <w:rFonts w:ascii="Times New Roman" w:hAnsi="Times New Roman" w:cs="Times New Roman"/>
          <w:color w:val="000000"/>
        </w:rPr>
        <w:t>dar</w:t>
      </w:r>
      <w:proofErr w:type="spellEnd"/>
      <w:r w:rsidR="00E56C25">
        <w:rPr>
          <w:rFonts w:ascii="Times New Roman" w:hAnsi="Times New Roman" w:cs="Times New Roman"/>
          <w:color w:val="000000"/>
        </w:rPr>
        <w:t xml:space="preserve"> la </w:t>
      </w:r>
      <w:proofErr w:type="spellStart"/>
      <w:r w:rsidR="00E56C25">
        <w:rPr>
          <w:rFonts w:ascii="Times New Roman" w:hAnsi="Times New Roman" w:cs="Times New Roman"/>
          <w:color w:val="000000"/>
        </w:rPr>
        <w:t>impresión</w:t>
      </w:r>
      <w:proofErr w:type="spellEnd"/>
      <w:r w:rsidR="00E56C25">
        <w:rPr>
          <w:rFonts w:ascii="Times New Roman" w:hAnsi="Times New Roman" w:cs="Times New Roman"/>
          <w:color w:val="000000"/>
        </w:rPr>
        <w:t xml:space="preserve"> del </w:t>
      </w:r>
      <w:proofErr w:type="spellStart"/>
      <w:r w:rsidR="00E56C25" w:rsidRPr="00E56C25">
        <w:rPr>
          <w:rFonts w:ascii="Times New Roman" w:hAnsi="Times New Roman" w:cs="Times New Roman"/>
          <w:i/>
          <w:color w:val="000000"/>
        </w:rPr>
        <w:t>dejà</w:t>
      </w:r>
      <w:proofErr w:type="spellEnd"/>
      <w:r w:rsidR="00E56C25" w:rsidRPr="00E56C25">
        <w:rPr>
          <w:rFonts w:ascii="Times New Roman" w:hAnsi="Times New Roman" w:cs="Times New Roman"/>
          <w:i/>
          <w:color w:val="000000"/>
        </w:rPr>
        <w:t xml:space="preserve"> vu</w:t>
      </w:r>
      <w:r w:rsidR="006C2702">
        <w:rPr>
          <w:rFonts w:ascii="Times New Roman" w:hAnsi="Times New Roman" w:cs="Times New Roman"/>
          <w:i/>
          <w:color w:val="000000"/>
        </w:rPr>
        <w:t xml:space="preserve"> </w:t>
      </w:r>
      <w:r w:rsidR="006C2702">
        <w:rPr>
          <w:rFonts w:ascii="Times New Roman" w:hAnsi="Times New Roman" w:cs="Times New Roman"/>
          <w:color w:val="000000"/>
        </w:rPr>
        <w:t xml:space="preserve">[He </w:t>
      </w:r>
      <w:r w:rsidR="00BC6A47">
        <w:rPr>
          <w:rFonts w:ascii="Times New Roman" w:hAnsi="Times New Roman" w:cs="Times New Roman"/>
          <w:color w:val="000000"/>
        </w:rPr>
        <w:t>says</w:t>
      </w:r>
      <w:r w:rsidR="006C2702">
        <w:rPr>
          <w:rFonts w:ascii="Times New Roman" w:hAnsi="Times New Roman" w:cs="Times New Roman"/>
          <w:color w:val="000000"/>
        </w:rPr>
        <w:t xml:space="preserve"> he chose that name because there was more than one </w:t>
      </w:r>
      <w:proofErr w:type="spellStart"/>
      <w:r w:rsidR="006C2702">
        <w:rPr>
          <w:rFonts w:ascii="Times New Roman" w:hAnsi="Times New Roman" w:cs="Times New Roman"/>
          <w:color w:val="000000"/>
        </w:rPr>
        <w:t>Ménard</w:t>
      </w:r>
      <w:proofErr w:type="spellEnd"/>
      <w:r w:rsidR="006C2702">
        <w:rPr>
          <w:rFonts w:ascii="Times New Roman" w:hAnsi="Times New Roman" w:cs="Times New Roman"/>
          <w:color w:val="000000"/>
        </w:rPr>
        <w:t xml:space="preserve"> in French literature and he wanted to give the impression of </w:t>
      </w:r>
      <w:proofErr w:type="spellStart"/>
      <w:r w:rsidR="006C2702">
        <w:rPr>
          <w:rFonts w:ascii="Times New Roman" w:hAnsi="Times New Roman" w:cs="Times New Roman"/>
          <w:i/>
          <w:color w:val="000000"/>
        </w:rPr>
        <w:t>dejà</w:t>
      </w:r>
      <w:proofErr w:type="spellEnd"/>
      <w:r w:rsidR="006C2702">
        <w:rPr>
          <w:rFonts w:ascii="Times New Roman" w:hAnsi="Times New Roman" w:cs="Times New Roman"/>
          <w:i/>
          <w:color w:val="000000"/>
        </w:rPr>
        <w:t xml:space="preserve"> vu.</w:t>
      </w:r>
      <w:r w:rsidR="006C2702" w:rsidRPr="006C2702">
        <w:rPr>
          <w:rFonts w:ascii="Times New Roman" w:hAnsi="Times New Roman" w:cs="Times New Roman"/>
          <w:color w:val="000000"/>
        </w:rPr>
        <w:t>]</w:t>
      </w:r>
      <w:r w:rsidR="00E56C25">
        <w:rPr>
          <w:rFonts w:ascii="Times New Roman" w:hAnsi="Times New Roman" w:cs="Times New Roman"/>
          <w:color w:val="000000"/>
        </w:rPr>
        <w:t>” (</w:t>
      </w:r>
      <w:proofErr w:type="spellStart"/>
      <w:r w:rsidR="00EC1034">
        <w:rPr>
          <w:rFonts w:ascii="Times New Roman" w:hAnsi="Times New Roman" w:cs="Times New Roman"/>
          <w:color w:val="000000"/>
        </w:rPr>
        <w:t>Bioy</w:t>
      </w:r>
      <w:proofErr w:type="spellEnd"/>
      <w:r w:rsidR="00EC1034">
        <w:rPr>
          <w:rFonts w:ascii="Times New Roman" w:hAnsi="Times New Roman" w:cs="Times New Roman"/>
          <w:color w:val="000000"/>
        </w:rPr>
        <w:t xml:space="preserve"> </w:t>
      </w:r>
      <w:proofErr w:type="spellStart"/>
      <w:r w:rsidR="00EC1034">
        <w:rPr>
          <w:rFonts w:ascii="Times New Roman" w:hAnsi="Times New Roman" w:cs="Times New Roman"/>
          <w:color w:val="000000"/>
        </w:rPr>
        <w:t>Casares</w:t>
      </w:r>
      <w:proofErr w:type="spellEnd"/>
      <w:r w:rsidR="00EC1034">
        <w:rPr>
          <w:rFonts w:ascii="Times New Roman" w:hAnsi="Times New Roman" w:cs="Times New Roman"/>
          <w:color w:val="000000"/>
        </w:rPr>
        <w:t xml:space="preserve"> </w:t>
      </w:r>
      <w:r w:rsidR="00E56C25">
        <w:rPr>
          <w:rFonts w:ascii="Times New Roman" w:hAnsi="Times New Roman" w:cs="Times New Roman"/>
          <w:color w:val="000000"/>
        </w:rPr>
        <w:t>1394).</w:t>
      </w:r>
      <w:r w:rsidR="006C2702">
        <w:rPr>
          <w:rFonts w:ascii="Times New Roman" w:hAnsi="Times New Roman" w:cs="Times New Roman"/>
          <w:color w:val="000000"/>
        </w:rPr>
        <w:t xml:space="preserve"> </w:t>
      </w:r>
      <w:r w:rsidR="00D36197">
        <w:rPr>
          <w:rFonts w:ascii="Times New Roman" w:hAnsi="Times New Roman" w:cs="Times New Roman"/>
          <w:color w:val="000000"/>
        </w:rPr>
        <w:t xml:space="preserve">No doubt, Borges could have produced this effect with any number of names, and it does not efface the fascinating parallels between his creation and the historical </w:t>
      </w:r>
      <w:proofErr w:type="spellStart"/>
      <w:r w:rsidR="00D36197">
        <w:rPr>
          <w:rFonts w:ascii="Times New Roman" w:hAnsi="Times New Roman" w:cs="Times New Roman"/>
          <w:color w:val="000000"/>
        </w:rPr>
        <w:t>Ménards</w:t>
      </w:r>
      <w:proofErr w:type="spellEnd"/>
      <w:r w:rsidR="00D36197">
        <w:rPr>
          <w:rFonts w:ascii="Times New Roman" w:hAnsi="Times New Roman" w:cs="Times New Roman"/>
          <w:color w:val="000000"/>
        </w:rPr>
        <w:t xml:space="preserve">. </w:t>
      </w:r>
      <w:r w:rsidR="000761C3">
        <w:rPr>
          <w:rFonts w:ascii="Times New Roman" w:hAnsi="Times New Roman" w:cs="Times New Roman"/>
          <w:color w:val="000000"/>
        </w:rPr>
        <w:t xml:space="preserve">Still, it also suggests that what most motivated Borges was this feeling </w:t>
      </w:r>
      <w:r w:rsidR="00BC6A47">
        <w:rPr>
          <w:rFonts w:ascii="Times New Roman" w:hAnsi="Times New Roman" w:cs="Times New Roman"/>
          <w:color w:val="000000"/>
        </w:rPr>
        <w:t>his character was</w:t>
      </w:r>
      <w:r w:rsidR="000761C3">
        <w:rPr>
          <w:rFonts w:ascii="Times New Roman" w:hAnsi="Times New Roman" w:cs="Times New Roman"/>
          <w:color w:val="000000"/>
        </w:rPr>
        <w:t xml:space="preserve"> temporally out of place, a repetition of an uncertain original.</w:t>
      </w:r>
    </w:p>
    <w:p w14:paraId="4977D7C8" w14:textId="08EC4BA6" w:rsidR="002F168F" w:rsidRDefault="00306C79" w:rsidP="00E56C25">
      <w:pPr>
        <w:spacing w:line="480" w:lineRule="auto"/>
        <w:ind w:firstLine="720"/>
        <w:rPr>
          <w:rFonts w:ascii="Times New Roman" w:hAnsi="Times New Roman" w:cs="Times New Roman"/>
          <w:color w:val="000000"/>
        </w:rPr>
      </w:pPr>
      <w:r>
        <w:rPr>
          <w:rFonts w:ascii="Times New Roman" w:hAnsi="Times New Roman" w:cs="Times New Roman"/>
          <w:color w:val="000000"/>
        </w:rPr>
        <w:t>Several</w:t>
      </w:r>
      <w:r w:rsidR="00934CA9">
        <w:rPr>
          <w:rFonts w:ascii="Times New Roman" w:hAnsi="Times New Roman" w:cs="Times New Roman"/>
          <w:color w:val="000000"/>
        </w:rPr>
        <w:t xml:space="preserve"> historical resonances from the bibliography of Borges’s Pierre Menard tie him to a separate author, Paul Valéry. </w:t>
      </w:r>
      <w:r w:rsidR="00580B3B">
        <w:rPr>
          <w:rFonts w:ascii="Times New Roman" w:hAnsi="Times New Roman" w:cs="Times New Roman"/>
          <w:color w:val="000000"/>
        </w:rPr>
        <w:t xml:space="preserve">In “A Modern Master,” Paul de Man </w:t>
      </w:r>
      <w:r>
        <w:rPr>
          <w:rFonts w:ascii="Times New Roman" w:hAnsi="Times New Roman" w:cs="Times New Roman"/>
          <w:color w:val="000000"/>
        </w:rPr>
        <w:t xml:space="preserve">notes their similarities, including an early sonnet Menard published in </w:t>
      </w:r>
      <w:r>
        <w:rPr>
          <w:rFonts w:ascii="Times New Roman" w:hAnsi="Times New Roman" w:cs="Times New Roman"/>
          <w:i/>
          <w:color w:val="000000"/>
        </w:rPr>
        <w:t xml:space="preserve">La </w:t>
      </w:r>
      <w:proofErr w:type="spellStart"/>
      <w:r>
        <w:rPr>
          <w:rFonts w:ascii="Times New Roman" w:hAnsi="Times New Roman" w:cs="Times New Roman"/>
          <w:i/>
          <w:color w:val="000000"/>
        </w:rPr>
        <w:t>conque</w:t>
      </w:r>
      <w:proofErr w:type="spellEnd"/>
      <w:r>
        <w:rPr>
          <w:rFonts w:ascii="Times New Roman" w:hAnsi="Times New Roman" w:cs="Times New Roman"/>
          <w:color w:val="000000"/>
        </w:rPr>
        <w:t xml:space="preserve">, where several of Valéry’s early poems appeared. De Man lends greater weight to their dissimilarities, including an invective against Valéry (we are told, however, that this represented the opposite of its author’s true opinion and represented his ironic tendency to write things he didn’t believe) as well as his </w:t>
      </w:r>
      <w:r w:rsidR="00DF60AF">
        <w:rPr>
          <w:rFonts w:ascii="Times New Roman" w:hAnsi="Times New Roman" w:cs="Times New Roman"/>
          <w:color w:val="000000"/>
        </w:rPr>
        <w:t>transposition into alexandrines of Valéry’s “</w:t>
      </w:r>
      <w:r w:rsidR="00DF60AF">
        <w:rPr>
          <w:rFonts w:ascii="Times New Roman" w:hAnsi="Times New Roman" w:cs="Times New Roman"/>
          <w:i/>
          <w:color w:val="000000"/>
        </w:rPr>
        <w:t xml:space="preserve">Le </w:t>
      </w:r>
      <w:proofErr w:type="spellStart"/>
      <w:r w:rsidR="00DF60AF">
        <w:rPr>
          <w:rFonts w:ascii="Times New Roman" w:hAnsi="Times New Roman" w:cs="Times New Roman"/>
          <w:i/>
          <w:color w:val="000000"/>
        </w:rPr>
        <w:t>cimetiére</w:t>
      </w:r>
      <w:proofErr w:type="spellEnd"/>
      <w:r w:rsidR="00DF60AF">
        <w:rPr>
          <w:rFonts w:ascii="Times New Roman" w:hAnsi="Times New Roman" w:cs="Times New Roman"/>
          <w:i/>
          <w:color w:val="000000"/>
        </w:rPr>
        <w:t xml:space="preserve"> </w:t>
      </w:r>
      <w:proofErr w:type="spellStart"/>
      <w:r w:rsidR="00DF60AF">
        <w:rPr>
          <w:rFonts w:ascii="Times New Roman" w:hAnsi="Times New Roman" w:cs="Times New Roman"/>
          <w:i/>
          <w:color w:val="000000"/>
        </w:rPr>
        <w:t>marin</w:t>
      </w:r>
      <w:proofErr w:type="spellEnd"/>
      <w:r w:rsidR="00DF60AF">
        <w:rPr>
          <w:rFonts w:ascii="Times New Roman" w:hAnsi="Times New Roman" w:cs="Times New Roman"/>
          <w:i/>
          <w:color w:val="000000"/>
        </w:rPr>
        <w:t>,</w:t>
      </w:r>
      <w:r w:rsidR="00DF60AF">
        <w:rPr>
          <w:rFonts w:ascii="Times New Roman" w:hAnsi="Times New Roman" w:cs="Times New Roman"/>
          <w:color w:val="000000"/>
        </w:rPr>
        <w:t xml:space="preserve">” whose decasyllabic meter was </w:t>
      </w:r>
      <w:r w:rsidR="00FA1A02">
        <w:rPr>
          <w:rFonts w:ascii="Times New Roman" w:hAnsi="Times New Roman" w:cs="Times New Roman"/>
          <w:color w:val="000000"/>
        </w:rPr>
        <w:t xml:space="preserve">considered </w:t>
      </w:r>
      <w:r w:rsidR="00DF60AF">
        <w:rPr>
          <w:rFonts w:ascii="Times New Roman" w:hAnsi="Times New Roman" w:cs="Times New Roman"/>
          <w:color w:val="000000"/>
        </w:rPr>
        <w:t xml:space="preserve">essential </w:t>
      </w:r>
      <w:r w:rsidR="00FA1A02">
        <w:rPr>
          <w:rFonts w:ascii="Times New Roman" w:hAnsi="Times New Roman" w:cs="Times New Roman"/>
          <w:color w:val="000000"/>
        </w:rPr>
        <w:t xml:space="preserve">by </w:t>
      </w:r>
      <w:r w:rsidR="00405609">
        <w:rPr>
          <w:rFonts w:ascii="Times New Roman" w:hAnsi="Times New Roman" w:cs="Times New Roman"/>
          <w:color w:val="000000"/>
        </w:rPr>
        <w:t>its author</w:t>
      </w:r>
      <w:r w:rsidR="00DF60AF">
        <w:rPr>
          <w:rFonts w:ascii="Times New Roman" w:hAnsi="Times New Roman" w:cs="Times New Roman"/>
          <w:color w:val="000000"/>
        </w:rPr>
        <w:t>. De Man concludes, “we can no longer doubt that we are dealing with Valéry’s anti-self, in other words, Monsieur Teste” (58).</w:t>
      </w:r>
      <w:r w:rsidR="007A7C14">
        <w:rPr>
          <w:rFonts w:ascii="Times New Roman" w:hAnsi="Times New Roman" w:cs="Times New Roman"/>
          <w:color w:val="000000"/>
        </w:rPr>
        <w:t xml:space="preserve"> Valéry is mentioned in one of Borges’s essays, a piece with </w:t>
      </w:r>
      <w:proofErr w:type="spellStart"/>
      <w:r w:rsidR="007A7C14">
        <w:rPr>
          <w:rFonts w:ascii="Times New Roman" w:hAnsi="Times New Roman" w:cs="Times New Roman"/>
          <w:color w:val="000000"/>
        </w:rPr>
        <w:t>Menardian</w:t>
      </w:r>
      <w:proofErr w:type="spellEnd"/>
      <w:r w:rsidR="007A7C14">
        <w:rPr>
          <w:rFonts w:ascii="Times New Roman" w:hAnsi="Times New Roman" w:cs="Times New Roman"/>
          <w:color w:val="000000"/>
        </w:rPr>
        <w:t xml:space="preserve"> resonances that can help us to understand why Menard is the author’s anti-type.</w:t>
      </w:r>
      <w:r w:rsidR="0069263C">
        <w:rPr>
          <w:rFonts w:ascii="Times New Roman" w:hAnsi="Times New Roman" w:cs="Times New Roman"/>
          <w:color w:val="000000"/>
        </w:rPr>
        <w:t xml:space="preserve"> In “Coleridge’s Flower,” Borges quotes Valéry’s i</w:t>
      </w:r>
      <w:r w:rsidR="000D0883">
        <w:rPr>
          <w:rFonts w:ascii="Times New Roman" w:hAnsi="Times New Roman" w:cs="Times New Roman"/>
          <w:color w:val="000000"/>
        </w:rPr>
        <w:t>nvocation of a universal author:</w:t>
      </w:r>
      <w:r w:rsidR="0069263C">
        <w:rPr>
          <w:rFonts w:ascii="Times New Roman" w:hAnsi="Times New Roman" w:cs="Times New Roman"/>
          <w:color w:val="000000"/>
        </w:rPr>
        <w:t xml:space="preserve"> “The history of literature should not</w:t>
      </w:r>
      <w:r w:rsidR="006670CB">
        <w:rPr>
          <w:rFonts w:ascii="Times New Roman" w:hAnsi="Times New Roman" w:cs="Times New Roman"/>
          <w:color w:val="000000"/>
        </w:rPr>
        <w:t xml:space="preserve"> be the history of authors and the course of their careers or of the career of their works, but rather the history of the Spirit as the producer or consumer of literature; such a history could be written without mentioning a single writer” (240).</w:t>
      </w:r>
      <w:r w:rsidR="00190571">
        <w:rPr>
          <w:rFonts w:ascii="Times New Roman" w:hAnsi="Times New Roman" w:cs="Times New Roman"/>
          <w:color w:val="000000"/>
        </w:rPr>
        <w:t xml:space="preserve"> </w:t>
      </w:r>
      <w:r w:rsidR="00190571">
        <w:rPr>
          <w:rFonts w:ascii="Times New Roman" w:hAnsi="Times New Roman" w:cs="Times New Roman"/>
          <w:color w:val="000000"/>
        </w:rPr>
        <w:lastRenderedPageBreak/>
        <w:t>The essay concludes with a vision of literature that coincides with the final evocations of the narrator of “Pierre Menard</w:t>
      </w:r>
      <w:r w:rsidR="002F168F">
        <w:rPr>
          <w:rFonts w:ascii="Times New Roman" w:hAnsi="Times New Roman" w:cs="Times New Roman"/>
          <w:color w:val="000000"/>
        </w:rPr>
        <w:t>:</w:t>
      </w:r>
      <w:r w:rsidR="00190571">
        <w:rPr>
          <w:rFonts w:ascii="Times New Roman" w:hAnsi="Times New Roman" w:cs="Times New Roman"/>
          <w:color w:val="000000"/>
        </w:rPr>
        <w:t xml:space="preserve">” </w:t>
      </w:r>
    </w:p>
    <w:p w14:paraId="159DF4EB" w14:textId="6C1EC883" w:rsidR="002F168F" w:rsidRDefault="00190571" w:rsidP="002F168F">
      <w:pPr>
        <w:ind w:left="720"/>
        <w:rPr>
          <w:rFonts w:ascii="Times New Roman" w:hAnsi="Times New Roman" w:cs="Times New Roman"/>
          <w:color w:val="000000"/>
        </w:rPr>
      </w:pPr>
      <w:r>
        <w:rPr>
          <w:rFonts w:ascii="Times New Roman" w:hAnsi="Times New Roman" w:cs="Times New Roman"/>
          <w:color w:val="000000"/>
        </w:rPr>
        <w:t>For the classical mind, literature is the essential thing, not individuals. George Moore and James Joyce incorporated into their works pages and sentences of others; Oscar Wilde used to give plots away for others to develop</w:t>
      </w:r>
      <w:r w:rsidR="001E78E3">
        <w:rPr>
          <w:rFonts w:ascii="Times New Roman" w:hAnsi="Times New Roman" w:cs="Times New Roman"/>
          <w:color w:val="000000"/>
        </w:rPr>
        <w:t>; both procedures, though apparently contradictory, reveal an identical sense of art, an ecumenical, impersonal perception […] Those who carefully copy a write</w:t>
      </w:r>
      <w:r w:rsidR="000D0883">
        <w:rPr>
          <w:rFonts w:ascii="Times New Roman" w:hAnsi="Times New Roman" w:cs="Times New Roman"/>
          <w:color w:val="000000"/>
        </w:rPr>
        <w:t>r</w:t>
      </w:r>
      <w:r w:rsidR="001E78E3">
        <w:rPr>
          <w:rFonts w:ascii="Times New Roman" w:hAnsi="Times New Roman" w:cs="Times New Roman"/>
          <w:color w:val="000000"/>
        </w:rPr>
        <w:t xml:space="preserve"> do so impersonally, because they equate that writer with literature</w:t>
      </w:r>
      <w:r w:rsidR="002F168F">
        <w:rPr>
          <w:rFonts w:ascii="Times New Roman" w:hAnsi="Times New Roman" w:cs="Times New Roman"/>
          <w:color w:val="000000"/>
        </w:rPr>
        <w:t>. (242)</w:t>
      </w:r>
      <w:r w:rsidR="005C5DBC">
        <w:rPr>
          <w:rFonts w:ascii="Times New Roman" w:hAnsi="Times New Roman" w:cs="Times New Roman"/>
          <w:color w:val="000000"/>
        </w:rPr>
        <w:t xml:space="preserve"> </w:t>
      </w:r>
    </w:p>
    <w:p w14:paraId="67C98601" w14:textId="77777777" w:rsidR="002F168F" w:rsidRDefault="002F168F" w:rsidP="002F168F">
      <w:pPr>
        <w:ind w:left="720"/>
        <w:rPr>
          <w:rFonts w:ascii="Times New Roman" w:hAnsi="Times New Roman" w:cs="Times New Roman"/>
          <w:color w:val="000000"/>
        </w:rPr>
      </w:pPr>
    </w:p>
    <w:p w14:paraId="3926BBC4" w14:textId="77777777" w:rsidR="00D4653F" w:rsidRDefault="005C5DBC" w:rsidP="002F168F">
      <w:pPr>
        <w:spacing w:line="480" w:lineRule="auto"/>
        <w:rPr>
          <w:rFonts w:ascii="Times New Roman" w:hAnsi="Times New Roman" w:cs="Times New Roman"/>
          <w:color w:val="000000"/>
        </w:rPr>
      </w:pPr>
      <w:r>
        <w:rPr>
          <w:rFonts w:ascii="Times New Roman" w:hAnsi="Times New Roman" w:cs="Times New Roman"/>
          <w:color w:val="000000"/>
        </w:rPr>
        <w:t>If this is Borges’s ultimate position,</w:t>
      </w:r>
      <w:r w:rsidR="002A3A24">
        <w:rPr>
          <w:rFonts w:ascii="Times New Roman" w:hAnsi="Times New Roman" w:cs="Times New Roman"/>
          <w:color w:val="000000"/>
        </w:rPr>
        <w:t xml:space="preserve"> and one derived from Valéry’s reading practice,</w:t>
      </w:r>
      <w:r>
        <w:rPr>
          <w:rFonts w:ascii="Times New Roman" w:hAnsi="Times New Roman" w:cs="Times New Roman"/>
          <w:color w:val="000000"/>
        </w:rPr>
        <w:t xml:space="preserve"> why is Menard an anti-Valéry?</w:t>
      </w:r>
    </w:p>
    <w:p w14:paraId="1DFE1B28" w14:textId="5DBC9CA3" w:rsidR="00EF201F" w:rsidRPr="00EF201F" w:rsidRDefault="00F73855" w:rsidP="00EF201F">
      <w:pPr>
        <w:spacing w:line="480" w:lineRule="auto"/>
        <w:ind w:firstLine="720"/>
        <w:rPr>
          <w:rFonts w:ascii="Times New Roman" w:hAnsi="Times New Roman" w:cs="Times New Roman"/>
          <w:color w:val="000000"/>
        </w:rPr>
      </w:pPr>
      <w:r>
        <w:rPr>
          <w:rFonts w:ascii="Times New Roman" w:hAnsi="Times New Roman" w:cs="Times New Roman"/>
          <w:color w:val="000000"/>
        </w:rPr>
        <w:t>Of course, we can be no more certain of finding Borges</w:t>
      </w:r>
      <w:r w:rsidR="00965E06">
        <w:rPr>
          <w:rFonts w:ascii="Times New Roman" w:hAnsi="Times New Roman" w:cs="Times New Roman"/>
          <w:color w:val="000000"/>
        </w:rPr>
        <w:t xml:space="preserve"> taking </w:t>
      </w:r>
      <w:r w:rsidR="004E7712">
        <w:rPr>
          <w:rFonts w:ascii="Times New Roman" w:hAnsi="Times New Roman" w:cs="Times New Roman"/>
          <w:color w:val="000000"/>
        </w:rPr>
        <w:t xml:space="preserve">his </w:t>
      </w:r>
      <w:r w:rsidR="00FB3D63">
        <w:rPr>
          <w:rFonts w:ascii="Times New Roman" w:hAnsi="Times New Roman" w:cs="Times New Roman"/>
          <w:color w:val="000000"/>
        </w:rPr>
        <w:t>true</w:t>
      </w:r>
      <w:r w:rsidR="00965E06">
        <w:rPr>
          <w:rFonts w:ascii="Times New Roman" w:hAnsi="Times New Roman" w:cs="Times New Roman"/>
          <w:color w:val="000000"/>
        </w:rPr>
        <w:t xml:space="preserve"> position in his non-fiction than his fiction. Two possible readings of the conclusion of “Pierre Menard” present themselves: 1) the substitution of texts and authors will lead toward the Valerian Spirit who gathers all history in an eternal unity out of which all human endeavor speaks only to say the same, 2) the chaos of </w:t>
      </w:r>
      <w:proofErr w:type="spellStart"/>
      <w:r w:rsidR="00965E06">
        <w:rPr>
          <w:rFonts w:ascii="Times New Roman" w:hAnsi="Times New Roman" w:cs="Times New Roman"/>
          <w:color w:val="000000"/>
        </w:rPr>
        <w:t>perspectivality</w:t>
      </w:r>
      <w:proofErr w:type="spellEnd"/>
      <w:r w:rsidR="00965E06">
        <w:rPr>
          <w:rFonts w:ascii="Times New Roman" w:hAnsi="Times New Roman" w:cs="Times New Roman"/>
          <w:color w:val="000000"/>
        </w:rPr>
        <w:t xml:space="preserve"> </w:t>
      </w:r>
      <w:r w:rsidR="002A3A24">
        <w:rPr>
          <w:rFonts w:ascii="Times New Roman" w:hAnsi="Times New Roman" w:cs="Times New Roman"/>
          <w:color w:val="000000"/>
        </w:rPr>
        <w:t>(reading every text from the point of view of every author</w:t>
      </w:r>
      <w:r w:rsidR="00D56583">
        <w:rPr>
          <w:rFonts w:ascii="Times New Roman" w:hAnsi="Times New Roman" w:cs="Times New Roman"/>
          <w:color w:val="000000"/>
        </w:rPr>
        <w:t>, real or unreal</w:t>
      </w:r>
      <w:r w:rsidR="002A3A24">
        <w:rPr>
          <w:rFonts w:ascii="Times New Roman" w:hAnsi="Times New Roman" w:cs="Times New Roman"/>
          <w:color w:val="000000"/>
        </w:rPr>
        <w:t xml:space="preserve">) </w:t>
      </w:r>
      <w:r w:rsidR="00965E06">
        <w:rPr>
          <w:rFonts w:ascii="Times New Roman" w:hAnsi="Times New Roman" w:cs="Times New Roman"/>
          <w:color w:val="000000"/>
        </w:rPr>
        <w:t xml:space="preserve">never </w:t>
      </w:r>
      <w:r w:rsidR="005732C4">
        <w:rPr>
          <w:rFonts w:ascii="Times New Roman" w:hAnsi="Times New Roman" w:cs="Times New Roman"/>
          <w:color w:val="000000"/>
        </w:rPr>
        <w:t>comes to stop</w:t>
      </w:r>
      <w:r w:rsidR="00965E06">
        <w:rPr>
          <w:rFonts w:ascii="Times New Roman" w:hAnsi="Times New Roman" w:cs="Times New Roman"/>
          <w:color w:val="000000"/>
        </w:rPr>
        <w:t xml:space="preserve"> in even the promise of a unified perspective, offering instead ceaseless dissemination and the lack of self-identity.</w:t>
      </w:r>
      <w:r w:rsidR="00501F03">
        <w:rPr>
          <w:rFonts w:ascii="Times New Roman" w:hAnsi="Times New Roman" w:cs="Times New Roman"/>
          <w:color w:val="000000"/>
        </w:rPr>
        <w:t xml:space="preserve"> These positions can be summarized as Valerian and anti-Valerian; given that </w:t>
      </w:r>
      <w:r w:rsidR="00215124">
        <w:rPr>
          <w:rFonts w:ascii="Times New Roman" w:hAnsi="Times New Roman" w:cs="Times New Roman"/>
          <w:color w:val="000000"/>
        </w:rPr>
        <w:t>our narrator’s</w:t>
      </w:r>
      <w:r w:rsidR="00501F03">
        <w:rPr>
          <w:rFonts w:ascii="Times New Roman" w:hAnsi="Times New Roman" w:cs="Times New Roman"/>
          <w:color w:val="000000"/>
        </w:rPr>
        <w:t xml:space="preserve"> presentation of them is too brief to establish which he holds to, it is impossible to say whether he has emerged from ironic naivete to enlightenment, or even whether either position promises such an escape.</w:t>
      </w:r>
      <w:r w:rsidR="00E02337">
        <w:rPr>
          <w:rFonts w:ascii="Times New Roman" w:hAnsi="Times New Roman" w:cs="Times New Roman"/>
          <w:color w:val="000000"/>
        </w:rPr>
        <w:t xml:space="preserve"> If Borges shows us anything, it is </w:t>
      </w:r>
      <w:r w:rsidR="005732C4">
        <w:rPr>
          <w:rFonts w:ascii="Times New Roman" w:hAnsi="Times New Roman" w:cs="Times New Roman"/>
          <w:color w:val="000000"/>
        </w:rPr>
        <w:t xml:space="preserve">rather </w:t>
      </w:r>
      <w:r w:rsidR="00E02337">
        <w:rPr>
          <w:rFonts w:ascii="Times New Roman" w:hAnsi="Times New Roman" w:cs="Times New Roman"/>
          <w:color w:val="000000"/>
        </w:rPr>
        <w:t>that both positions insinuate their opposites and ironize themselves.</w:t>
      </w:r>
      <w:r w:rsidR="00511B1F">
        <w:rPr>
          <w:rStyle w:val="FootnoteReference"/>
          <w:rFonts w:ascii="Times New Roman" w:hAnsi="Times New Roman" w:cs="Times New Roman"/>
          <w:color w:val="000000"/>
        </w:rPr>
        <w:footnoteReference w:id="9"/>
      </w:r>
      <w:r w:rsidR="00EF201F">
        <w:rPr>
          <w:rFonts w:ascii="Times New Roman" w:hAnsi="Times New Roman" w:cs="Times New Roman"/>
          <w:color w:val="000000"/>
        </w:rPr>
        <w:t xml:space="preserve"> Such </w:t>
      </w:r>
      <w:r w:rsidR="00EF201F">
        <w:rPr>
          <w:rFonts w:ascii="Times New Roman" w:hAnsi="Times New Roman" w:cs="Times New Roman"/>
          <w:color w:val="000000"/>
        </w:rPr>
        <w:lastRenderedPageBreak/>
        <w:t xml:space="preserve">an instability would also eliminate the possibility of a linear, genetic derivation of the two positions such as the one the narrator attempts when he describes Menard as, “a </w:t>
      </w:r>
      <w:proofErr w:type="spellStart"/>
      <w:r w:rsidR="00EF201F">
        <w:rPr>
          <w:rFonts w:ascii="Times New Roman" w:hAnsi="Times New Roman" w:cs="Times New Roman"/>
          <w:i/>
          <w:color w:val="000000"/>
        </w:rPr>
        <w:t>Symboliste</w:t>
      </w:r>
      <w:proofErr w:type="spellEnd"/>
      <w:r w:rsidR="00EF201F">
        <w:rPr>
          <w:rFonts w:ascii="Times New Roman" w:hAnsi="Times New Roman" w:cs="Times New Roman"/>
          <w:i/>
          <w:color w:val="000000"/>
        </w:rPr>
        <w:t xml:space="preserve"> </w:t>
      </w:r>
      <w:r w:rsidR="00EF201F" w:rsidRPr="00EF201F">
        <w:rPr>
          <w:rFonts w:ascii="Times New Roman" w:hAnsi="Times New Roman" w:cs="Times New Roman"/>
          <w:color w:val="000000"/>
        </w:rPr>
        <w:t xml:space="preserve">from </w:t>
      </w:r>
      <w:proofErr w:type="spellStart"/>
      <w:r w:rsidR="00EF201F" w:rsidRPr="00EF201F">
        <w:rPr>
          <w:rFonts w:ascii="Times New Roman" w:hAnsi="Times New Roman" w:cs="Times New Roman"/>
          <w:color w:val="000000"/>
        </w:rPr>
        <w:t>Nîmes</w:t>
      </w:r>
      <w:proofErr w:type="spellEnd"/>
      <w:r w:rsidR="00EF201F">
        <w:rPr>
          <w:rFonts w:ascii="Times New Roman" w:hAnsi="Times New Roman" w:cs="Times New Roman"/>
          <w:color w:val="000000"/>
        </w:rPr>
        <w:t xml:space="preserve">, a devotee </w:t>
      </w:r>
      <w:proofErr w:type="spellStart"/>
      <w:r w:rsidR="00EF201F">
        <w:rPr>
          <w:rFonts w:ascii="Times New Roman" w:hAnsi="Times New Roman" w:cs="Times New Roman"/>
          <w:color w:val="000000"/>
        </w:rPr>
        <w:t>essentally</w:t>
      </w:r>
      <w:proofErr w:type="spellEnd"/>
      <w:r w:rsidR="00EF201F">
        <w:rPr>
          <w:rFonts w:ascii="Times New Roman" w:hAnsi="Times New Roman" w:cs="Times New Roman"/>
          <w:color w:val="000000"/>
        </w:rPr>
        <w:t xml:space="preserve"> [</w:t>
      </w:r>
      <w:r w:rsidR="00EF201F">
        <w:rPr>
          <w:rFonts w:ascii="Times New Roman" w:hAnsi="Times New Roman" w:cs="Times New Roman"/>
          <w:i/>
          <w:color w:val="000000"/>
        </w:rPr>
        <w:t>sic</w:t>
      </w:r>
      <w:r w:rsidR="00EF201F">
        <w:rPr>
          <w:rFonts w:ascii="Times New Roman" w:hAnsi="Times New Roman" w:cs="Times New Roman"/>
          <w:color w:val="000000"/>
        </w:rPr>
        <w:t xml:space="preserve">] of Poe—who begat Baudelaire, who begat </w:t>
      </w:r>
      <w:proofErr w:type="spellStart"/>
      <w:r w:rsidR="00EF201F">
        <w:rPr>
          <w:rFonts w:ascii="Times New Roman" w:hAnsi="Times New Roman" w:cs="Times New Roman"/>
          <w:color w:val="000000"/>
        </w:rPr>
        <w:t>Mallarmé</w:t>
      </w:r>
      <w:proofErr w:type="spellEnd"/>
      <w:r w:rsidR="00EF201F">
        <w:rPr>
          <w:rFonts w:ascii="Times New Roman" w:hAnsi="Times New Roman" w:cs="Times New Roman"/>
          <w:color w:val="000000"/>
        </w:rPr>
        <w:t xml:space="preserve">, who begat Valéry, who begat M. Edmond Teste” (Borges, </w:t>
      </w:r>
      <w:r w:rsidR="00EF201F" w:rsidRPr="00EF201F">
        <w:rPr>
          <w:rFonts w:ascii="Times New Roman" w:hAnsi="Times New Roman" w:cs="Times New Roman"/>
          <w:color w:val="000000"/>
        </w:rPr>
        <w:t>“Pierre Menard”</w:t>
      </w:r>
      <w:r w:rsidR="00EF201F">
        <w:rPr>
          <w:rFonts w:ascii="Times New Roman" w:hAnsi="Times New Roman" w:cs="Times New Roman"/>
          <w:color w:val="000000"/>
        </w:rPr>
        <w:t xml:space="preserve"> 92).</w:t>
      </w:r>
      <w:r w:rsidR="00511B1F">
        <w:rPr>
          <w:rFonts w:ascii="Times New Roman" w:hAnsi="Times New Roman" w:cs="Times New Roman"/>
          <w:color w:val="000000"/>
        </w:rPr>
        <w:t xml:space="preserve"> </w:t>
      </w:r>
    </w:p>
    <w:p w14:paraId="386495EA" w14:textId="77777777" w:rsidR="00034692" w:rsidRDefault="00DF10C8" w:rsidP="00B42A53">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This aporia of identity and difference, which manifests itself as irony in Borges’s short story, appears as self-contradiction in his “non-fiction.” </w:t>
      </w:r>
      <w:r w:rsidR="00522B39">
        <w:rPr>
          <w:rFonts w:ascii="Times New Roman" w:hAnsi="Times New Roman" w:cs="Times New Roman"/>
          <w:color w:val="000000"/>
        </w:rPr>
        <w:t>Despite his celebration of the “impersonal,” “ecumenical” reading method in the essay on “Coleridge’s Flower,” a more disseminative view of the practice of reading can be found elsewhere in his work. We can turn, for example, to his writings on translation, a practice intimately related both to reading and to the literary appropriation undertaken by Pierre Menard.</w:t>
      </w:r>
      <w:r w:rsidR="00952DFC">
        <w:rPr>
          <w:rStyle w:val="FootnoteReference"/>
          <w:rFonts w:ascii="Times New Roman" w:hAnsi="Times New Roman" w:cs="Times New Roman"/>
          <w:color w:val="000000"/>
        </w:rPr>
        <w:footnoteReference w:id="10"/>
      </w:r>
      <w:r w:rsidR="00522B39">
        <w:rPr>
          <w:rFonts w:ascii="Times New Roman" w:hAnsi="Times New Roman" w:cs="Times New Roman"/>
          <w:color w:val="000000"/>
        </w:rPr>
        <w:t xml:space="preserve"> </w:t>
      </w:r>
      <w:r w:rsidR="004577DB">
        <w:rPr>
          <w:rFonts w:ascii="Times New Roman" w:hAnsi="Times New Roman" w:cs="Times New Roman"/>
          <w:color w:val="000000"/>
        </w:rPr>
        <w:t xml:space="preserve">On the one hand, Borges at times justifies his translation practice (which, as </w:t>
      </w:r>
      <w:proofErr w:type="spellStart"/>
      <w:r w:rsidR="004577DB">
        <w:rPr>
          <w:rFonts w:ascii="Times New Roman" w:hAnsi="Times New Roman" w:cs="Times New Roman"/>
          <w:color w:val="000000"/>
        </w:rPr>
        <w:t>Efraín</w:t>
      </w:r>
      <w:proofErr w:type="spellEnd"/>
      <w:r w:rsidR="004577DB">
        <w:rPr>
          <w:rFonts w:ascii="Times New Roman" w:hAnsi="Times New Roman" w:cs="Times New Roman"/>
          <w:color w:val="000000"/>
        </w:rPr>
        <w:t xml:space="preserve"> Kristal has brilliantly documented, was inventive</w:t>
      </w:r>
      <w:r w:rsidR="004D79FD">
        <w:rPr>
          <w:rFonts w:ascii="Times New Roman" w:hAnsi="Times New Roman" w:cs="Times New Roman"/>
          <w:color w:val="000000"/>
        </w:rPr>
        <w:t>ly unfaithful even to his own work</w:t>
      </w:r>
      <w:r w:rsidR="004577DB">
        <w:rPr>
          <w:rFonts w:ascii="Times New Roman" w:hAnsi="Times New Roman" w:cs="Times New Roman"/>
          <w:color w:val="000000"/>
        </w:rPr>
        <w:t xml:space="preserve">) by invoking the vision of literature as a unified progress unfolding across authors and languages. For example, </w:t>
      </w:r>
      <w:r w:rsidR="00C77FDE">
        <w:rPr>
          <w:rFonts w:ascii="Times New Roman" w:hAnsi="Times New Roman" w:cs="Times New Roman"/>
          <w:color w:val="000000"/>
        </w:rPr>
        <w:t>Borges has said</w:t>
      </w:r>
      <w:r w:rsidR="0056105D">
        <w:rPr>
          <w:rFonts w:ascii="Times New Roman" w:hAnsi="Times New Roman" w:cs="Times New Roman"/>
          <w:color w:val="000000"/>
        </w:rPr>
        <w:t xml:space="preserve"> in interviews</w:t>
      </w:r>
      <w:r w:rsidR="004577DB">
        <w:rPr>
          <w:rFonts w:ascii="Times New Roman" w:hAnsi="Times New Roman" w:cs="Times New Roman"/>
          <w:color w:val="000000"/>
        </w:rPr>
        <w:t>, “An artist cares about the perfectibility of the work, and not the fact that it may have originated from himself or from others</w:t>
      </w:r>
      <w:r w:rsidR="0056105D">
        <w:rPr>
          <w:rFonts w:ascii="Times New Roman" w:hAnsi="Times New Roman" w:cs="Times New Roman"/>
          <w:color w:val="000000"/>
        </w:rPr>
        <w:t>,</w:t>
      </w:r>
      <w:r w:rsidR="004577DB">
        <w:rPr>
          <w:rFonts w:ascii="Times New Roman" w:hAnsi="Times New Roman" w:cs="Times New Roman"/>
          <w:color w:val="000000"/>
        </w:rPr>
        <w:t>” (qtd. in Kristal</w:t>
      </w:r>
      <w:r w:rsidR="00E76E6D">
        <w:rPr>
          <w:rFonts w:ascii="Times New Roman" w:hAnsi="Times New Roman" w:cs="Times New Roman"/>
          <w:color w:val="000000"/>
        </w:rPr>
        <w:t xml:space="preserve">, </w:t>
      </w:r>
      <w:r w:rsidR="00E76E6D">
        <w:rPr>
          <w:rFonts w:ascii="Times New Roman" w:hAnsi="Times New Roman" w:cs="Times New Roman"/>
          <w:i/>
          <w:color w:val="000000"/>
        </w:rPr>
        <w:t>Invisible Work</w:t>
      </w:r>
      <w:r w:rsidR="004577DB">
        <w:rPr>
          <w:rFonts w:ascii="Times New Roman" w:hAnsi="Times New Roman" w:cs="Times New Roman"/>
          <w:color w:val="000000"/>
        </w:rPr>
        <w:t xml:space="preserve"> 9)</w:t>
      </w:r>
      <w:r w:rsidR="00AE1F17">
        <w:rPr>
          <w:rFonts w:ascii="Times New Roman" w:hAnsi="Times New Roman" w:cs="Times New Roman"/>
          <w:color w:val="000000"/>
        </w:rPr>
        <w:t>.</w:t>
      </w:r>
      <w:r w:rsidR="00C77FDE">
        <w:rPr>
          <w:rFonts w:ascii="Times New Roman" w:hAnsi="Times New Roman" w:cs="Times New Roman"/>
          <w:color w:val="000000"/>
        </w:rPr>
        <w:t xml:space="preserve"> On the other hand, Borges will also justify this practice not only by arguing against the perfectibility of the individual work (as though it progressed toward </w:t>
      </w:r>
      <w:r w:rsidR="0056105D">
        <w:rPr>
          <w:rFonts w:ascii="Times New Roman" w:hAnsi="Times New Roman" w:cs="Times New Roman"/>
          <w:color w:val="000000"/>
        </w:rPr>
        <w:t>the</w:t>
      </w:r>
      <w:r w:rsidR="00C77FDE">
        <w:rPr>
          <w:rFonts w:ascii="Times New Roman" w:hAnsi="Times New Roman" w:cs="Times New Roman"/>
          <w:color w:val="000000"/>
        </w:rPr>
        <w:t xml:space="preserve"> form</w:t>
      </w:r>
      <w:r w:rsidR="0056105D">
        <w:rPr>
          <w:rFonts w:ascii="Times New Roman" w:hAnsi="Times New Roman" w:cs="Times New Roman"/>
          <w:color w:val="000000"/>
        </w:rPr>
        <w:t xml:space="preserve"> intended by a universal spirit</w:t>
      </w:r>
      <w:r w:rsidR="00C77FDE">
        <w:rPr>
          <w:rFonts w:ascii="Times New Roman" w:hAnsi="Times New Roman" w:cs="Times New Roman"/>
          <w:color w:val="000000"/>
        </w:rPr>
        <w:t xml:space="preserve">), but by arguing even against its self-identity, suggesting in a certain sense that it has never existed, at least not as a whole or idea to be repeated (let alone perfected), “To assume that every recombination of elements is necessarily inferior to its original form is to assume that a draft nine is necessarily inferior to draft H—for there can only be drafts. The concept of ‘definitive text’ corresponds only to </w:t>
      </w:r>
      <w:r w:rsidR="00C77FDE">
        <w:rPr>
          <w:rFonts w:ascii="Times New Roman" w:hAnsi="Times New Roman" w:cs="Times New Roman"/>
          <w:color w:val="000000"/>
        </w:rPr>
        <w:lastRenderedPageBreak/>
        <w:t xml:space="preserve">religion or exhaustion” (qtd. in Kristal, </w:t>
      </w:r>
      <w:r w:rsidR="00C77FDE">
        <w:rPr>
          <w:rFonts w:ascii="Times New Roman" w:hAnsi="Times New Roman" w:cs="Times New Roman"/>
          <w:i/>
          <w:color w:val="000000"/>
        </w:rPr>
        <w:t>Invisible Work</w:t>
      </w:r>
      <w:r w:rsidR="00C77FDE">
        <w:rPr>
          <w:rFonts w:ascii="Times New Roman" w:hAnsi="Times New Roman" w:cs="Times New Roman"/>
          <w:color w:val="000000"/>
        </w:rPr>
        <w:t xml:space="preserve"> 9).</w:t>
      </w:r>
      <w:r w:rsidR="00034692">
        <w:rPr>
          <w:rFonts w:ascii="Times New Roman" w:hAnsi="Times New Roman" w:cs="Times New Roman"/>
          <w:color w:val="000000"/>
        </w:rPr>
        <w:t xml:space="preserve"> </w:t>
      </w:r>
      <w:r w:rsidR="000D2E17">
        <w:rPr>
          <w:rFonts w:ascii="Times New Roman" w:hAnsi="Times New Roman" w:cs="Times New Roman"/>
          <w:color w:val="000000"/>
        </w:rPr>
        <w:t>This perspective effaces the authority of the individual, historically situated author over the text, without inscribing the text in a higher power.</w:t>
      </w:r>
    </w:p>
    <w:p w14:paraId="05D7F752" w14:textId="4BDBC099" w:rsidR="00034692" w:rsidRDefault="00034692" w:rsidP="00C77FDE">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Traditionally, the theory of irony divides the figure into an </w:t>
      </w:r>
      <w:proofErr w:type="spellStart"/>
      <w:r w:rsidRPr="00034692">
        <w:rPr>
          <w:rFonts w:ascii="Times New Roman" w:hAnsi="Times New Roman" w:cs="Times New Roman"/>
          <w:i/>
          <w:color w:val="000000"/>
        </w:rPr>
        <w:t>eiron</w:t>
      </w:r>
      <w:proofErr w:type="spellEnd"/>
      <w:r>
        <w:rPr>
          <w:rFonts w:ascii="Times New Roman" w:hAnsi="Times New Roman" w:cs="Times New Roman"/>
          <w:color w:val="000000"/>
        </w:rPr>
        <w:t xml:space="preserve"> and an </w:t>
      </w:r>
      <w:proofErr w:type="spellStart"/>
      <w:r w:rsidRPr="00034692">
        <w:rPr>
          <w:rFonts w:ascii="Times New Roman" w:hAnsi="Times New Roman" w:cs="Times New Roman"/>
          <w:i/>
          <w:color w:val="000000"/>
        </w:rPr>
        <w:t>alazon</w:t>
      </w:r>
      <w:proofErr w:type="spellEnd"/>
      <w:r>
        <w:rPr>
          <w:rFonts w:ascii="Times New Roman" w:hAnsi="Times New Roman" w:cs="Times New Roman"/>
          <w:color w:val="000000"/>
        </w:rPr>
        <w:t xml:space="preserve">, </w:t>
      </w:r>
      <w:r w:rsidR="00014246">
        <w:rPr>
          <w:rFonts w:ascii="Times New Roman" w:hAnsi="Times New Roman" w:cs="Times New Roman"/>
          <w:color w:val="000000"/>
        </w:rPr>
        <w:t xml:space="preserve">a reference to Socratic dialogues in which a cunningly </w:t>
      </w:r>
      <w:r w:rsidR="00477F79">
        <w:rPr>
          <w:rFonts w:ascii="Times New Roman" w:hAnsi="Times New Roman" w:cs="Times New Roman"/>
          <w:color w:val="000000"/>
        </w:rPr>
        <w:t>ignorant</w:t>
      </w:r>
      <w:r w:rsidR="00014246">
        <w:rPr>
          <w:rFonts w:ascii="Times New Roman" w:hAnsi="Times New Roman" w:cs="Times New Roman"/>
          <w:color w:val="000000"/>
        </w:rPr>
        <w:t xml:space="preserve"> </w:t>
      </w:r>
      <w:proofErr w:type="spellStart"/>
      <w:r w:rsidR="00477F79">
        <w:rPr>
          <w:rFonts w:ascii="Times New Roman" w:hAnsi="Times New Roman" w:cs="Times New Roman"/>
          <w:color w:val="000000"/>
        </w:rPr>
        <w:t>discutant</w:t>
      </w:r>
      <w:proofErr w:type="spellEnd"/>
      <w:r w:rsidR="00477F79">
        <w:rPr>
          <w:rFonts w:ascii="Times New Roman" w:hAnsi="Times New Roman" w:cs="Times New Roman"/>
          <w:color w:val="000000"/>
        </w:rPr>
        <w:t xml:space="preserve"> (the </w:t>
      </w:r>
      <w:proofErr w:type="spellStart"/>
      <w:r w:rsidR="00477F79">
        <w:rPr>
          <w:rFonts w:ascii="Times New Roman" w:hAnsi="Times New Roman" w:cs="Times New Roman"/>
          <w:i/>
          <w:color w:val="000000"/>
        </w:rPr>
        <w:t>eiron</w:t>
      </w:r>
      <w:proofErr w:type="spellEnd"/>
      <w:r w:rsidR="00477F79">
        <w:rPr>
          <w:rFonts w:ascii="Times New Roman" w:hAnsi="Times New Roman" w:cs="Times New Roman"/>
          <w:color w:val="000000"/>
        </w:rPr>
        <w:t>)</w:t>
      </w:r>
      <w:r w:rsidR="00477F79">
        <w:rPr>
          <w:rFonts w:ascii="Times New Roman" w:hAnsi="Times New Roman" w:cs="Times New Roman"/>
          <w:i/>
          <w:color w:val="000000"/>
        </w:rPr>
        <w:t xml:space="preserve"> </w:t>
      </w:r>
      <w:r w:rsidR="00477F79">
        <w:rPr>
          <w:rFonts w:ascii="Times New Roman" w:hAnsi="Times New Roman" w:cs="Times New Roman"/>
          <w:color w:val="000000"/>
        </w:rPr>
        <w:t xml:space="preserve">would undermine the authority of the naively confident </w:t>
      </w:r>
      <w:proofErr w:type="spellStart"/>
      <w:r w:rsidR="00477F79">
        <w:rPr>
          <w:rFonts w:ascii="Times New Roman" w:hAnsi="Times New Roman" w:cs="Times New Roman"/>
          <w:i/>
          <w:color w:val="000000"/>
        </w:rPr>
        <w:t>alazon</w:t>
      </w:r>
      <w:proofErr w:type="spellEnd"/>
      <w:r w:rsidR="00477F79">
        <w:rPr>
          <w:rFonts w:ascii="Times New Roman" w:hAnsi="Times New Roman" w:cs="Times New Roman"/>
          <w:color w:val="000000"/>
        </w:rPr>
        <w:t>.</w:t>
      </w:r>
      <w:r w:rsidR="00243FB6">
        <w:rPr>
          <w:rStyle w:val="FootnoteReference"/>
          <w:rFonts w:ascii="Times New Roman" w:hAnsi="Times New Roman" w:cs="Times New Roman"/>
          <w:color w:val="000000"/>
        </w:rPr>
        <w:footnoteReference w:id="11"/>
      </w:r>
      <w:r w:rsidR="00477F79">
        <w:rPr>
          <w:rFonts w:ascii="Times New Roman" w:hAnsi="Times New Roman" w:cs="Times New Roman"/>
          <w:color w:val="000000"/>
        </w:rPr>
        <w:t xml:space="preserve"> Borges’s irony deconstructs this division; it demonstrates the interdependence of these two positions, always locating them in the same (or</w:t>
      </w:r>
      <w:r w:rsidR="00A40116">
        <w:rPr>
          <w:rFonts w:ascii="Times New Roman" w:hAnsi="Times New Roman" w:cs="Times New Roman"/>
          <w:color w:val="000000"/>
        </w:rPr>
        <w:t xml:space="preserve"> in</w:t>
      </w:r>
      <w:r w:rsidR="00477F79">
        <w:rPr>
          <w:rFonts w:ascii="Times New Roman" w:hAnsi="Times New Roman" w:cs="Times New Roman"/>
          <w:color w:val="000000"/>
        </w:rPr>
        <w:t xml:space="preserve"> a no-longer-self-same) subject.</w:t>
      </w:r>
      <w:r w:rsidR="00F81BFB">
        <w:rPr>
          <w:rFonts w:ascii="Times New Roman" w:hAnsi="Times New Roman" w:cs="Times New Roman"/>
          <w:color w:val="000000"/>
        </w:rPr>
        <w:t xml:space="preserve"> The best example of this</w:t>
      </w:r>
      <w:r w:rsidR="00A40116">
        <w:rPr>
          <w:rFonts w:ascii="Times New Roman" w:hAnsi="Times New Roman" w:cs="Times New Roman"/>
          <w:color w:val="000000"/>
        </w:rPr>
        <w:t xml:space="preserve"> is</w:t>
      </w:r>
      <w:r w:rsidR="00F81BFB">
        <w:rPr>
          <w:rFonts w:ascii="Times New Roman" w:hAnsi="Times New Roman" w:cs="Times New Roman"/>
          <w:color w:val="000000"/>
        </w:rPr>
        <w:t xml:space="preserve"> the frequency with which </w:t>
      </w:r>
      <w:r w:rsidR="00F3107A">
        <w:rPr>
          <w:rFonts w:ascii="Times New Roman" w:hAnsi="Times New Roman" w:cs="Times New Roman"/>
          <w:color w:val="000000"/>
        </w:rPr>
        <w:t xml:space="preserve">Borges identifies himself with </w:t>
      </w:r>
      <w:r w:rsidR="00F81BFB">
        <w:rPr>
          <w:rFonts w:ascii="Times New Roman" w:hAnsi="Times New Roman" w:cs="Times New Roman"/>
          <w:color w:val="000000"/>
        </w:rPr>
        <w:t xml:space="preserve">his ironically deluded </w:t>
      </w:r>
      <w:r w:rsidR="00070A40">
        <w:rPr>
          <w:rFonts w:ascii="Times New Roman" w:hAnsi="Times New Roman" w:cs="Times New Roman"/>
          <w:color w:val="000000"/>
        </w:rPr>
        <w:t xml:space="preserve">characters </w:t>
      </w:r>
      <w:r w:rsidR="00F81BFB">
        <w:rPr>
          <w:rFonts w:ascii="Times New Roman" w:hAnsi="Times New Roman" w:cs="Times New Roman"/>
          <w:color w:val="000000"/>
        </w:rPr>
        <w:t>through the inclusion of autobiographical details in his stories.</w:t>
      </w:r>
      <w:r w:rsidR="0064175C">
        <w:rPr>
          <w:rFonts w:ascii="Times New Roman" w:hAnsi="Times New Roman" w:cs="Times New Roman"/>
          <w:color w:val="000000"/>
        </w:rPr>
        <w:t xml:space="preserve"> Borges wrote “The Library of Babel” while sitting among the stacks of the municipal library where he worked, at an age when his eyesight had already begun to dim. </w:t>
      </w:r>
      <w:r w:rsidR="00C9168C">
        <w:rPr>
          <w:rFonts w:ascii="Times New Roman" w:hAnsi="Times New Roman" w:cs="Times New Roman"/>
          <w:color w:val="000000"/>
        </w:rPr>
        <w:t xml:space="preserve">He insisted in later interviews that the dimensions of the Library of Babel’s shelves and books were taken from the room he was sitting in as he wrote, and the librarian-narrator who pens the </w:t>
      </w:r>
      <w:r w:rsidR="003D1D8B">
        <w:rPr>
          <w:rFonts w:ascii="Times New Roman" w:hAnsi="Times New Roman" w:cs="Times New Roman"/>
          <w:color w:val="000000"/>
        </w:rPr>
        <w:t xml:space="preserve">story </w:t>
      </w:r>
      <w:r w:rsidR="00C9168C">
        <w:rPr>
          <w:rFonts w:ascii="Times New Roman" w:hAnsi="Times New Roman" w:cs="Times New Roman"/>
          <w:color w:val="000000"/>
        </w:rPr>
        <w:t>laments that, “</w:t>
      </w:r>
      <w:r w:rsidR="00C9168C" w:rsidRPr="00C9168C">
        <w:rPr>
          <w:rFonts w:ascii="Times New Roman" w:hAnsi="Times New Roman" w:cs="Times New Roman"/>
          <w:color w:val="000000"/>
        </w:rPr>
        <w:t>my eyes c</w:t>
      </w:r>
      <w:r w:rsidR="00C9168C">
        <w:rPr>
          <w:rFonts w:ascii="Times New Roman" w:hAnsi="Times New Roman" w:cs="Times New Roman"/>
          <w:color w:val="000000"/>
        </w:rPr>
        <w:t>an hardly decipher what I write”</w:t>
      </w:r>
      <w:r w:rsidR="00A1091A">
        <w:rPr>
          <w:rFonts w:ascii="Times New Roman" w:hAnsi="Times New Roman" w:cs="Times New Roman"/>
          <w:color w:val="000000"/>
        </w:rPr>
        <w:t xml:space="preserve"> (Borges, </w:t>
      </w:r>
      <w:r w:rsidR="00A1091A">
        <w:rPr>
          <w:rFonts w:ascii="Times New Roman" w:hAnsi="Times New Roman" w:cs="Times New Roman"/>
          <w:i/>
          <w:color w:val="000000"/>
        </w:rPr>
        <w:t>Labyrinths</w:t>
      </w:r>
      <w:r w:rsidR="00A1091A">
        <w:rPr>
          <w:rFonts w:ascii="Times New Roman" w:hAnsi="Times New Roman" w:cs="Times New Roman"/>
          <w:color w:val="000000"/>
        </w:rPr>
        <w:t xml:space="preserve"> 52).</w:t>
      </w:r>
      <w:r w:rsidR="00B808C3">
        <w:rPr>
          <w:rFonts w:ascii="Times New Roman" w:hAnsi="Times New Roman" w:cs="Times New Roman"/>
          <w:color w:val="000000"/>
        </w:rPr>
        <w:t xml:space="preserve"> Daniel Balderston</w:t>
      </w:r>
      <w:r w:rsidR="00A841FD">
        <w:rPr>
          <w:rFonts w:ascii="Times New Roman" w:hAnsi="Times New Roman" w:cs="Times New Roman"/>
          <w:color w:val="000000"/>
        </w:rPr>
        <w:t>, in “‘His Insect-Like Handwriting,’”</w:t>
      </w:r>
      <w:r w:rsidR="00B808C3">
        <w:rPr>
          <w:rFonts w:ascii="Times New Roman" w:hAnsi="Times New Roman" w:cs="Times New Roman"/>
          <w:color w:val="000000"/>
        </w:rPr>
        <w:t xml:space="preserve"> has noted the autobiographical resonances of the final footnote of “Pierre Menard,” “I recall his square-ruled notebooks, his black crossings-out, his peculiar typographical symbols, and his insect-like handwriting”</w:t>
      </w:r>
      <w:r w:rsidR="00C9168C">
        <w:rPr>
          <w:rFonts w:ascii="Times New Roman" w:hAnsi="Times New Roman" w:cs="Times New Roman"/>
          <w:color w:val="000000"/>
        </w:rPr>
        <w:t xml:space="preserve"> </w:t>
      </w:r>
      <w:r w:rsidR="00B808C3">
        <w:rPr>
          <w:rFonts w:ascii="Times New Roman" w:hAnsi="Times New Roman" w:cs="Times New Roman"/>
          <w:color w:val="000000"/>
        </w:rPr>
        <w:t>(Borges, “Pierre Menard” 95).</w:t>
      </w:r>
      <w:r w:rsidR="00F32CE8">
        <w:rPr>
          <w:rFonts w:ascii="Times New Roman" w:hAnsi="Times New Roman" w:cs="Times New Roman"/>
          <w:color w:val="000000"/>
        </w:rPr>
        <w:t xml:space="preserve"> </w:t>
      </w:r>
      <w:r w:rsidR="004B02B0">
        <w:rPr>
          <w:rFonts w:ascii="Times New Roman" w:hAnsi="Times New Roman" w:cs="Times New Roman"/>
          <w:color w:val="000000"/>
        </w:rPr>
        <w:t xml:space="preserve">Borges often wrote his stories in notebooks of graph paper (though the existing copy of “Pierre Menard” is in an accountant’s ledger), </w:t>
      </w:r>
      <w:r w:rsidR="005E6A93">
        <w:rPr>
          <w:rFonts w:ascii="Times New Roman" w:hAnsi="Times New Roman" w:cs="Times New Roman"/>
          <w:color w:val="000000"/>
        </w:rPr>
        <w:t xml:space="preserve">he included characters from symbolic logic to note uncertainties in his manuscripts to which he would return, and had a </w:t>
      </w:r>
      <w:r w:rsidR="00C913D1">
        <w:rPr>
          <w:rFonts w:ascii="Times New Roman" w:hAnsi="Times New Roman" w:cs="Times New Roman"/>
          <w:color w:val="000000"/>
        </w:rPr>
        <w:t>minute</w:t>
      </w:r>
      <w:r w:rsidR="005E6A93">
        <w:rPr>
          <w:rFonts w:ascii="Times New Roman" w:hAnsi="Times New Roman" w:cs="Times New Roman"/>
          <w:color w:val="000000"/>
        </w:rPr>
        <w:t xml:space="preserve"> handwriting that could certainly be described as insectoid. </w:t>
      </w:r>
      <w:r w:rsidR="00807647">
        <w:rPr>
          <w:rFonts w:ascii="Times New Roman" w:hAnsi="Times New Roman" w:cs="Times New Roman"/>
          <w:color w:val="000000"/>
        </w:rPr>
        <w:t>One should also note, in this corpus defined by its internal differences, the etymology of the ever articulate in-</w:t>
      </w:r>
      <w:r w:rsidR="00807647">
        <w:rPr>
          <w:rFonts w:ascii="Times New Roman" w:hAnsi="Times New Roman" w:cs="Times New Roman"/>
          <w:color w:val="000000"/>
        </w:rPr>
        <w:lastRenderedPageBreak/>
        <w:t>sect.</w:t>
      </w:r>
      <w:r w:rsidR="00F06FCA">
        <w:rPr>
          <w:rFonts w:ascii="Times New Roman" w:hAnsi="Times New Roman" w:cs="Times New Roman"/>
          <w:color w:val="000000"/>
        </w:rPr>
        <w:t xml:space="preserve"> While these autobiographical details attach to Menard, not the narrator, there is enough ambiguity surrounding </w:t>
      </w:r>
      <w:r w:rsidR="000E0166">
        <w:rPr>
          <w:rFonts w:ascii="Times New Roman" w:hAnsi="Times New Roman" w:cs="Times New Roman"/>
          <w:color w:val="000000"/>
        </w:rPr>
        <w:t>Menard’s</w:t>
      </w:r>
      <w:r w:rsidR="00F06FCA">
        <w:rPr>
          <w:rFonts w:ascii="Times New Roman" w:hAnsi="Times New Roman" w:cs="Times New Roman"/>
          <w:color w:val="000000"/>
        </w:rPr>
        <w:t xml:space="preserve"> understanding of his task to interpret the autobiographical gesture similarly in this story.</w:t>
      </w:r>
      <w:r w:rsidR="00750A4C">
        <w:rPr>
          <w:rFonts w:ascii="Times New Roman" w:hAnsi="Times New Roman" w:cs="Times New Roman"/>
          <w:color w:val="000000"/>
        </w:rPr>
        <w:t xml:space="preserve"> In both cases, Borges identifies himself with the victim of his own irony, in a manner suggesting that his characters’ delusions are not accidental failings but expressions of a necessary duplicity and undecidability.</w:t>
      </w:r>
    </w:p>
    <w:p w14:paraId="4937B8F0" w14:textId="6D058F1A" w:rsidR="00243FB6" w:rsidRDefault="000E0166" w:rsidP="00C77FDE">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Given </w:t>
      </w:r>
      <w:r w:rsidR="00AF628C">
        <w:rPr>
          <w:rFonts w:ascii="Times New Roman" w:hAnsi="Times New Roman" w:cs="Times New Roman"/>
          <w:color w:val="000000"/>
        </w:rPr>
        <w:t>this</w:t>
      </w:r>
      <w:r>
        <w:rPr>
          <w:rFonts w:ascii="Times New Roman" w:hAnsi="Times New Roman" w:cs="Times New Roman"/>
          <w:color w:val="000000"/>
        </w:rPr>
        <w:t xml:space="preserve"> </w:t>
      </w:r>
      <w:r w:rsidR="00D97274">
        <w:rPr>
          <w:rFonts w:ascii="Times New Roman" w:hAnsi="Times New Roman" w:cs="Times New Roman"/>
          <w:color w:val="000000"/>
        </w:rPr>
        <w:t>inevitable</w:t>
      </w:r>
      <w:r>
        <w:rPr>
          <w:rFonts w:ascii="Times New Roman" w:hAnsi="Times New Roman" w:cs="Times New Roman"/>
          <w:color w:val="000000"/>
        </w:rPr>
        <w:t xml:space="preserve"> </w:t>
      </w:r>
      <w:r w:rsidR="00890204">
        <w:rPr>
          <w:rFonts w:ascii="Times New Roman" w:hAnsi="Times New Roman" w:cs="Times New Roman"/>
          <w:color w:val="000000"/>
        </w:rPr>
        <w:t>reassertion of</w:t>
      </w:r>
      <w:r w:rsidR="00AF628C">
        <w:rPr>
          <w:rFonts w:ascii="Times New Roman" w:hAnsi="Times New Roman" w:cs="Times New Roman"/>
          <w:color w:val="000000"/>
        </w:rPr>
        <w:t xml:space="preserve"> </w:t>
      </w:r>
      <w:r>
        <w:rPr>
          <w:rFonts w:ascii="Times New Roman" w:hAnsi="Times New Roman" w:cs="Times New Roman"/>
          <w:color w:val="000000"/>
        </w:rPr>
        <w:t>the ideas he ironized, Borges might in fact be pleased to see how frequently his narrators were taken literally.</w:t>
      </w:r>
      <w:r w:rsidR="00AF628C">
        <w:rPr>
          <w:rFonts w:ascii="Times New Roman" w:hAnsi="Times New Roman" w:cs="Times New Roman"/>
          <w:color w:val="000000"/>
        </w:rPr>
        <w:t xml:space="preserve"> </w:t>
      </w:r>
      <w:r w:rsidR="006233EE">
        <w:rPr>
          <w:rFonts w:ascii="Times New Roman" w:hAnsi="Times New Roman" w:cs="Times New Roman"/>
          <w:color w:val="000000"/>
        </w:rPr>
        <w:t xml:space="preserve">The </w:t>
      </w:r>
      <w:r w:rsidR="00815CA5">
        <w:rPr>
          <w:rFonts w:ascii="Times New Roman" w:hAnsi="Times New Roman" w:cs="Times New Roman"/>
          <w:color w:val="000000"/>
        </w:rPr>
        <w:t xml:space="preserve">most common interpretations </w:t>
      </w:r>
      <w:r w:rsidR="00CF7A22">
        <w:rPr>
          <w:rFonts w:ascii="Times New Roman" w:hAnsi="Times New Roman" w:cs="Times New Roman"/>
          <w:color w:val="000000"/>
        </w:rPr>
        <w:t xml:space="preserve">of </w:t>
      </w:r>
      <w:r w:rsidR="00815CA5">
        <w:rPr>
          <w:rFonts w:ascii="Times New Roman" w:hAnsi="Times New Roman" w:cs="Times New Roman"/>
          <w:color w:val="000000"/>
        </w:rPr>
        <w:t xml:space="preserve">Menard’s act of </w:t>
      </w:r>
      <w:r w:rsidR="00890204">
        <w:rPr>
          <w:rFonts w:ascii="Times New Roman" w:hAnsi="Times New Roman" w:cs="Times New Roman"/>
          <w:color w:val="000000"/>
        </w:rPr>
        <w:t xml:space="preserve">inventive </w:t>
      </w:r>
      <w:r w:rsidR="00815CA5">
        <w:rPr>
          <w:rFonts w:ascii="Times New Roman" w:hAnsi="Times New Roman" w:cs="Times New Roman"/>
          <w:color w:val="000000"/>
        </w:rPr>
        <w:t>repetition</w:t>
      </w:r>
      <w:r w:rsidR="00890204">
        <w:rPr>
          <w:rStyle w:val="FootnoteReference"/>
          <w:rFonts w:ascii="Times New Roman" w:hAnsi="Times New Roman" w:cs="Times New Roman"/>
          <w:color w:val="000000"/>
        </w:rPr>
        <w:footnoteReference w:id="12"/>
      </w:r>
      <w:r w:rsidR="000D0504">
        <w:rPr>
          <w:rFonts w:ascii="Times New Roman" w:hAnsi="Times New Roman" w:cs="Times New Roman"/>
          <w:color w:val="000000"/>
        </w:rPr>
        <w:t xml:space="preserve"> rely on formulations that approach the untenable initial ideas of the story’s narrator</w:t>
      </w:r>
      <w:r w:rsidR="00815CA5">
        <w:rPr>
          <w:rFonts w:ascii="Times New Roman" w:hAnsi="Times New Roman" w:cs="Times New Roman"/>
          <w:color w:val="000000"/>
        </w:rPr>
        <w:t xml:space="preserve">. </w:t>
      </w:r>
      <w:r w:rsidR="002B76BD">
        <w:rPr>
          <w:rFonts w:ascii="Times New Roman" w:hAnsi="Times New Roman" w:cs="Times New Roman"/>
          <w:color w:val="000000"/>
        </w:rPr>
        <w:t xml:space="preserve">That idea, we’ll recall, was that the </w:t>
      </w:r>
      <w:r w:rsidR="002B76BD">
        <w:rPr>
          <w:rFonts w:ascii="Times New Roman" w:hAnsi="Times New Roman" w:cs="Times New Roman"/>
          <w:i/>
          <w:color w:val="000000"/>
        </w:rPr>
        <w:t>Quixote</w:t>
      </w:r>
      <w:r w:rsidR="002B76BD">
        <w:rPr>
          <w:rFonts w:ascii="Times New Roman" w:hAnsi="Times New Roman" w:cs="Times New Roman"/>
          <w:color w:val="000000"/>
        </w:rPr>
        <w:t xml:space="preserve"> could be read as the product of a twentieth-century French symbolist only after it had been written by </w:t>
      </w:r>
      <w:r w:rsidR="00F51EA1">
        <w:rPr>
          <w:rFonts w:ascii="Times New Roman" w:hAnsi="Times New Roman" w:cs="Times New Roman"/>
          <w:color w:val="000000"/>
        </w:rPr>
        <w:t xml:space="preserve">an author fully conscious of belonging to that time, place, and genre. </w:t>
      </w:r>
      <w:r w:rsidR="00132DAE">
        <w:rPr>
          <w:rFonts w:ascii="Times New Roman" w:hAnsi="Times New Roman" w:cs="Times New Roman"/>
          <w:color w:val="000000"/>
        </w:rPr>
        <w:t xml:space="preserve">The recurrent emphasis </w:t>
      </w:r>
      <w:r w:rsidR="00890204">
        <w:rPr>
          <w:rFonts w:ascii="Times New Roman" w:hAnsi="Times New Roman" w:cs="Times New Roman"/>
          <w:color w:val="000000"/>
        </w:rPr>
        <w:t xml:space="preserve">among critics </w:t>
      </w:r>
      <w:r w:rsidR="00132DAE">
        <w:rPr>
          <w:rFonts w:ascii="Times New Roman" w:hAnsi="Times New Roman" w:cs="Times New Roman"/>
          <w:color w:val="000000"/>
        </w:rPr>
        <w:t xml:space="preserve">on the context-dependence of meaning and the role of the reader in shaping it are precisely the ideas that Borges’s story </w:t>
      </w:r>
      <w:r w:rsidR="00755C8B">
        <w:rPr>
          <w:rFonts w:ascii="Times New Roman" w:hAnsi="Times New Roman" w:cs="Times New Roman"/>
          <w:color w:val="000000"/>
        </w:rPr>
        <w:t>undermines</w:t>
      </w:r>
      <w:r w:rsidR="00132DAE">
        <w:rPr>
          <w:rFonts w:ascii="Times New Roman" w:hAnsi="Times New Roman" w:cs="Times New Roman"/>
          <w:color w:val="000000"/>
        </w:rPr>
        <w:t>.</w:t>
      </w:r>
      <w:r w:rsidR="00755C8B">
        <w:rPr>
          <w:rFonts w:ascii="Times New Roman" w:hAnsi="Times New Roman" w:cs="Times New Roman"/>
          <w:color w:val="000000"/>
        </w:rPr>
        <w:t xml:space="preserve"> </w:t>
      </w:r>
      <w:r w:rsidR="00905077">
        <w:rPr>
          <w:rFonts w:ascii="Times New Roman" w:hAnsi="Times New Roman" w:cs="Times New Roman"/>
          <w:color w:val="000000"/>
        </w:rPr>
        <w:t xml:space="preserve">Hans Robert </w:t>
      </w:r>
      <w:proofErr w:type="spellStart"/>
      <w:r w:rsidR="00905077">
        <w:rPr>
          <w:rFonts w:ascii="Times New Roman" w:hAnsi="Times New Roman" w:cs="Times New Roman"/>
          <w:color w:val="000000"/>
        </w:rPr>
        <w:t>Jauss</w:t>
      </w:r>
      <w:proofErr w:type="spellEnd"/>
      <w:r w:rsidR="00905077">
        <w:rPr>
          <w:rFonts w:ascii="Times New Roman" w:hAnsi="Times New Roman" w:cs="Times New Roman"/>
          <w:color w:val="000000"/>
        </w:rPr>
        <w:t xml:space="preserve"> cited the story as a foundational text of </w:t>
      </w:r>
      <w:r w:rsidR="00483557">
        <w:rPr>
          <w:rFonts w:ascii="Times New Roman" w:hAnsi="Times New Roman" w:cs="Times New Roman"/>
          <w:color w:val="000000"/>
        </w:rPr>
        <w:t>reception theory</w:t>
      </w:r>
      <w:r w:rsidR="00905077">
        <w:rPr>
          <w:rFonts w:ascii="Times New Roman" w:hAnsi="Times New Roman" w:cs="Times New Roman"/>
          <w:color w:val="000000"/>
        </w:rPr>
        <w:t xml:space="preserve"> </w:t>
      </w:r>
      <w:r w:rsidR="008D1234">
        <w:rPr>
          <w:rFonts w:ascii="Times New Roman" w:hAnsi="Times New Roman" w:cs="Times New Roman"/>
          <w:color w:val="000000"/>
        </w:rPr>
        <w:t>in</w:t>
      </w:r>
      <w:r w:rsidR="00905077">
        <w:rPr>
          <w:rFonts w:ascii="Times New Roman" w:hAnsi="Times New Roman" w:cs="Times New Roman"/>
          <w:color w:val="000000"/>
        </w:rPr>
        <w:t xml:space="preserve"> “</w:t>
      </w:r>
      <w:r w:rsidR="00905077" w:rsidRPr="00905077">
        <w:rPr>
          <w:rFonts w:ascii="Times New Roman" w:hAnsi="Times New Roman" w:cs="Times New Roman"/>
          <w:color w:val="000000"/>
        </w:rPr>
        <w:t>The Theory of Reception: A Retrospective of its Unrecognized Prehistory.</w:t>
      </w:r>
      <w:r w:rsidR="00905077">
        <w:rPr>
          <w:rFonts w:ascii="Times New Roman" w:hAnsi="Times New Roman" w:cs="Times New Roman"/>
          <w:color w:val="000000"/>
        </w:rPr>
        <w:t>”</w:t>
      </w:r>
      <w:r w:rsidR="00483557">
        <w:rPr>
          <w:rStyle w:val="FootnoteReference"/>
          <w:rFonts w:ascii="Times New Roman" w:hAnsi="Times New Roman" w:cs="Times New Roman"/>
          <w:color w:val="000000"/>
        </w:rPr>
        <w:footnoteReference w:id="13"/>
      </w:r>
      <w:r w:rsidR="00905077">
        <w:rPr>
          <w:rFonts w:ascii="Times New Roman" w:hAnsi="Times New Roman" w:cs="Times New Roman"/>
          <w:color w:val="000000"/>
        </w:rPr>
        <w:t xml:space="preserve"> Numerous readers have invoked his reading or its vocabulary, including </w:t>
      </w:r>
      <w:r w:rsidR="008F7B13">
        <w:rPr>
          <w:rFonts w:ascii="Times New Roman" w:hAnsi="Times New Roman" w:cs="Times New Roman"/>
          <w:color w:val="000000"/>
        </w:rPr>
        <w:t xml:space="preserve">Castillo, </w:t>
      </w:r>
      <w:proofErr w:type="spellStart"/>
      <w:r w:rsidR="008F7B13">
        <w:rPr>
          <w:rFonts w:ascii="Times New Roman" w:hAnsi="Times New Roman" w:cs="Times New Roman"/>
          <w:color w:val="000000"/>
        </w:rPr>
        <w:lastRenderedPageBreak/>
        <w:t>Giskin</w:t>
      </w:r>
      <w:proofErr w:type="spellEnd"/>
      <w:r w:rsidR="008F7B13">
        <w:rPr>
          <w:rFonts w:ascii="Times New Roman" w:hAnsi="Times New Roman" w:cs="Times New Roman"/>
          <w:color w:val="000000"/>
        </w:rPr>
        <w:t xml:space="preserve">, and Silvia </w:t>
      </w:r>
      <w:proofErr w:type="spellStart"/>
      <w:r w:rsidR="008F7B13">
        <w:rPr>
          <w:rFonts w:ascii="Times New Roman" w:hAnsi="Times New Roman" w:cs="Times New Roman"/>
          <w:color w:val="000000"/>
        </w:rPr>
        <w:t>Dapía</w:t>
      </w:r>
      <w:proofErr w:type="spellEnd"/>
      <w:r w:rsidR="008F7B13">
        <w:rPr>
          <w:rFonts w:ascii="Times New Roman" w:hAnsi="Times New Roman" w:cs="Times New Roman"/>
          <w:color w:val="000000"/>
        </w:rPr>
        <w:t>.</w:t>
      </w:r>
      <w:r w:rsidR="00565DA7">
        <w:rPr>
          <w:rStyle w:val="FootnoteReference"/>
          <w:rFonts w:ascii="Times New Roman" w:hAnsi="Times New Roman" w:cs="Times New Roman"/>
          <w:color w:val="000000"/>
        </w:rPr>
        <w:footnoteReference w:id="14"/>
      </w:r>
      <w:r w:rsidR="00755C8B">
        <w:rPr>
          <w:rFonts w:ascii="Times New Roman" w:hAnsi="Times New Roman" w:cs="Times New Roman"/>
          <w:color w:val="000000"/>
        </w:rPr>
        <w:t xml:space="preserve"> </w:t>
      </w:r>
      <w:proofErr w:type="spellStart"/>
      <w:r w:rsidR="003A3928">
        <w:rPr>
          <w:rFonts w:ascii="Times New Roman" w:hAnsi="Times New Roman" w:cs="Times New Roman"/>
          <w:color w:val="000000"/>
        </w:rPr>
        <w:t>Giskin</w:t>
      </w:r>
      <w:proofErr w:type="spellEnd"/>
      <w:r w:rsidR="003A3928">
        <w:rPr>
          <w:rFonts w:ascii="Times New Roman" w:hAnsi="Times New Roman" w:cs="Times New Roman"/>
          <w:color w:val="000000"/>
        </w:rPr>
        <w:t xml:space="preserve"> offers a paradigmatic statement on the relationship of</w:t>
      </w:r>
      <w:r w:rsidR="00243FB6">
        <w:rPr>
          <w:rFonts w:ascii="Times New Roman" w:hAnsi="Times New Roman" w:cs="Times New Roman"/>
          <w:color w:val="000000"/>
        </w:rPr>
        <w:t xml:space="preserve"> reader and context:</w:t>
      </w:r>
      <w:r w:rsidR="003A3928">
        <w:rPr>
          <w:rFonts w:ascii="Times New Roman" w:hAnsi="Times New Roman" w:cs="Times New Roman"/>
          <w:color w:val="000000"/>
        </w:rPr>
        <w:t xml:space="preserve"> </w:t>
      </w:r>
    </w:p>
    <w:p w14:paraId="79BEB935" w14:textId="77777777" w:rsidR="004E011B" w:rsidRDefault="003A3928" w:rsidP="00243FB6">
      <w:pPr>
        <w:ind w:left="720"/>
        <w:rPr>
          <w:rFonts w:ascii="Times New Roman" w:hAnsi="Times New Roman" w:cs="Times New Roman"/>
          <w:color w:val="000000"/>
        </w:rPr>
      </w:pPr>
      <w:r>
        <w:rPr>
          <w:rFonts w:ascii="Times New Roman" w:hAnsi="Times New Roman" w:cs="Times New Roman"/>
          <w:color w:val="000000"/>
        </w:rPr>
        <w:t xml:space="preserve">Through Menard’s recreation of the </w:t>
      </w:r>
      <w:r>
        <w:rPr>
          <w:rFonts w:ascii="Times New Roman" w:hAnsi="Times New Roman" w:cs="Times New Roman"/>
          <w:i/>
          <w:color w:val="000000"/>
        </w:rPr>
        <w:t xml:space="preserve">Quixote </w:t>
      </w:r>
      <w:r>
        <w:rPr>
          <w:rFonts w:ascii="Times New Roman" w:hAnsi="Times New Roman" w:cs="Times New Roman"/>
          <w:color w:val="000000"/>
        </w:rPr>
        <w:t>in a different time and place from Cervantes’ original, Borges implies the simple yet disturbing supposition that the meaning of literary works is entirely dependent on the varying historical and social contexts in which they are read. Simple because it seems obvious that context plays an enormous part in the determination of meaning of texts; complex and disturbing in its suggestion that literary meaning is constructed through mental processes irrevocably tied to location and period</w:t>
      </w:r>
      <w:r w:rsidR="00243FB6">
        <w:rPr>
          <w:rFonts w:ascii="Times New Roman" w:hAnsi="Times New Roman" w:cs="Times New Roman"/>
          <w:color w:val="000000"/>
        </w:rPr>
        <w:t>. (103)</w:t>
      </w:r>
    </w:p>
    <w:p w14:paraId="24D42748" w14:textId="77777777" w:rsidR="00243FB6" w:rsidRDefault="00243FB6" w:rsidP="00243FB6">
      <w:pPr>
        <w:rPr>
          <w:rFonts w:ascii="Times New Roman" w:hAnsi="Times New Roman" w:cs="Times New Roman"/>
          <w:color w:val="000000"/>
        </w:rPr>
      </w:pPr>
    </w:p>
    <w:p w14:paraId="79F3C6E6" w14:textId="77777777" w:rsidR="00D41646" w:rsidRDefault="002A0372" w:rsidP="00984771">
      <w:pPr>
        <w:spacing w:line="480" w:lineRule="auto"/>
        <w:rPr>
          <w:rFonts w:ascii="Times New Roman" w:hAnsi="Times New Roman" w:cs="Times New Roman"/>
          <w:color w:val="000000"/>
        </w:rPr>
      </w:pPr>
      <w:r>
        <w:rPr>
          <w:rFonts w:ascii="Times New Roman" w:hAnsi="Times New Roman" w:cs="Times New Roman"/>
          <w:color w:val="000000"/>
        </w:rPr>
        <w:t xml:space="preserve">If </w:t>
      </w:r>
      <w:r w:rsidR="005D09A7">
        <w:rPr>
          <w:rFonts w:ascii="Times New Roman" w:hAnsi="Times New Roman" w:cs="Times New Roman"/>
          <w:color w:val="000000"/>
        </w:rPr>
        <w:t xml:space="preserve">either a text </w:t>
      </w:r>
      <w:r w:rsidR="005D09A7">
        <w:rPr>
          <w:rFonts w:ascii="Times New Roman" w:hAnsi="Times New Roman" w:cs="Times New Roman"/>
          <w:i/>
          <w:color w:val="000000"/>
        </w:rPr>
        <w:t>or</w:t>
      </w:r>
      <w:r w:rsidR="005D09A7">
        <w:rPr>
          <w:rFonts w:ascii="Times New Roman" w:hAnsi="Times New Roman" w:cs="Times New Roman"/>
          <w:color w:val="000000"/>
        </w:rPr>
        <w:t xml:space="preserve"> a reader’s “mental processes” were inextricably bound to a historical context, then </w:t>
      </w:r>
      <w:r w:rsidR="005D09A7">
        <w:rPr>
          <w:rFonts w:ascii="Times New Roman" w:hAnsi="Times New Roman" w:cs="Times New Roman"/>
          <w:i/>
          <w:color w:val="000000"/>
        </w:rPr>
        <w:t>every act of reading would be impossible</w:t>
      </w:r>
      <w:r w:rsidR="005D09A7">
        <w:rPr>
          <w:rFonts w:ascii="Times New Roman" w:hAnsi="Times New Roman" w:cs="Times New Roman"/>
          <w:color w:val="000000"/>
        </w:rPr>
        <w:t xml:space="preserve">, including Menard’s reading of the </w:t>
      </w:r>
      <w:r w:rsidR="005D09A7" w:rsidRPr="005D09A7">
        <w:rPr>
          <w:rFonts w:ascii="Times New Roman" w:hAnsi="Times New Roman" w:cs="Times New Roman"/>
          <w:i/>
          <w:color w:val="000000"/>
        </w:rPr>
        <w:t>Quixote</w:t>
      </w:r>
      <w:r w:rsidR="005D09A7">
        <w:rPr>
          <w:rFonts w:ascii="Times New Roman" w:hAnsi="Times New Roman" w:cs="Times New Roman"/>
          <w:color w:val="000000"/>
        </w:rPr>
        <w:t xml:space="preserve">. The progression we noted in the story is toward an ever less secure bond between text, reader, and context. </w:t>
      </w:r>
      <w:r w:rsidR="00B26A8D">
        <w:rPr>
          <w:rFonts w:ascii="Times New Roman" w:hAnsi="Times New Roman" w:cs="Times New Roman"/>
          <w:color w:val="000000"/>
        </w:rPr>
        <w:t xml:space="preserve">Once we have recognized that any text can be read from any context, as the product of any real or imaginary author, it is impossible to say that either the author’s or the reader’s context is placing limitations on the text’s interpretability. </w:t>
      </w:r>
      <w:r w:rsidR="003E2738">
        <w:rPr>
          <w:rFonts w:ascii="Times New Roman" w:hAnsi="Times New Roman" w:cs="Times New Roman"/>
          <w:color w:val="000000"/>
        </w:rPr>
        <w:t xml:space="preserve">Nor should we make the mistake of thinking that the work is a timeless form, allowing its self-identity to reproduce itself across history. </w:t>
      </w:r>
      <w:r w:rsidR="00CA696E">
        <w:rPr>
          <w:rFonts w:ascii="Times New Roman" w:hAnsi="Times New Roman" w:cs="Times New Roman"/>
          <w:color w:val="000000"/>
        </w:rPr>
        <w:t xml:space="preserve">Rather, there are only readings from within (indefinite) contexts </w:t>
      </w:r>
      <w:r w:rsidR="00CA696E">
        <w:rPr>
          <w:rFonts w:ascii="Times New Roman" w:hAnsi="Times New Roman" w:cs="Times New Roman"/>
          <w:i/>
          <w:color w:val="000000"/>
        </w:rPr>
        <w:t>for the very reason</w:t>
      </w:r>
      <w:r w:rsidR="00CA696E">
        <w:rPr>
          <w:rFonts w:ascii="Times New Roman" w:hAnsi="Times New Roman" w:cs="Times New Roman"/>
          <w:color w:val="000000"/>
        </w:rPr>
        <w:t xml:space="preserve"> that any given text, whatever its moment of origin, forms part of any context we would hope to isolate and stand within in order to read from its point of view.</w:t>
      </w:r>
      <w:r w:rsidR="00762CA4">
        <w:rPr>
          <w:rStyle w:val="FootnoteReference"/>
          <w:rFonts w:ascii="Times New Roman" w:hAnsi="Times New Roman" w:cs="Times New Roman"/>
          <w:color w:val="000000"/>
        </w:rPr>
        <w:footnoteReference w:id="15"/>
      </w:r>
      <w:r w:rsidR="00CA696E">
        <w:rPr>
          <w:rFonts w:ascii="Times New Roman" w:hAnsi="Times New Roman" w:cs="Times New Roman"/>
          <w:color w:val="000000"/>
        </w:rPr>
        <w:t xml:space="preserve"> Menard notes, among the factors making his task “virtually impossible,” the fact that among the events shaping his historical moment, “to mention but one, is the </w:t>
      </w:r>
      <w:r w:rsidR="00CA696E">
        <w:rPr>
          <w:rFonts w:ascii="Times New Roman" w:hAnsi="Times New Roman" w:cs="Times New Roman"/>
          <w:i/>
          <w:color w:val="000000"/>
        </w:rPr>
        <w:t>Quixote</w:t>
      </w:r>
      <w:r w:rsidR="00CA696E">
        <w:rPr>
          <w:rFonts w:ascii="Times New Roman" w:hAnsi="Times New Roman" w:cs="Times New Roman"/>
          <w:color w:val="000000"/>
        </w:rPr>
        <w:t xml:space="preserve"> itself” (93).</w:t>
      </w:r>
      <w:r w:rsidR="008D4211">
        <w:rPr>
          <w:rFonts w:ascii="Times New Roman" w:hAnsi="Times New Roman" w:cs="Times New Roman"/>
          <w:color w:val="000000"/>
        </w:rPr>
        <w:t xml:space="preserve"> </w:t>
      </w:r>
      <w:r w:rsidR="00973F85">
        <w:rPr>
          <w:rFonts w:ascii="Times New Roman" w:hAnsi="Times New Roman" w:cs="Times New Roman"/>
          <w:color w:val="000000"/>
        </w:rPr>
        <w:t>If the text did not automatically break from the context of its creation</w:t>
      </w:r>
      <w:r w:rsidR="004B4EB1">
        <w:rPr>
          <w:rFonts w:ascii="Times New Roman" w:hAnsi="Times New Roman" w:cs="Times New Roman"/>
          <w:color w:val="000000"/>
        </w:rPr>
        <w:t>,</w:t>
      </w:r>
      <w:r w:rsidR="00973F85">
        <w:rPr>
          <w:rFonts w:ascii="Times New Roman" w:hAnsi="Times New Roman" w:cs="Times New Roman"/>
          <w:color w:val="000000"/>
        </w:rPr>
        <w:t xml:space="preserve"> it would be unreadable in its origin, even for </w:t>
      </w:r>
      <w:r w:rsidR="00973F85">
        <w:rPr>
          <w:rFonts w:ascii="Times New Roman" w:hAnsi="Times New Roman" w:cs="Times New Roman"/>
          <w:color w:val="000000"/>
        </w:rPr>
        <w:lastRenderedPageBreak/>
        <w:t>its author, who would watch it instantaneously seal itself off from re</w:t>
      </w:r>
      <w:r w:rsidR="00A61859">
        <w:rPr>
          <w:rFonts w:ascii="Times New Roman" w:hAnsi="Times New Roman" w:cs="Times New Roman"/>
          <w:color w:val="000000"/>
        </w:rPr>
        <w:t xml:space="preserve">ading the moment it was written. </w:t>
      </w:r>
      <w:r w:rsidR="004B4EB1">
        <w:rPr>
          <w:rFonts w:ascii="Times New Roman" w:hAnsi="Times New Roman" w:cs="Times New Roman"/>
          <w:color w:val="000000"/>
        </w:rPr>
        <w:t>That there is reading at all proves that the text can and must set foot in our “context,” whatever and wherever that is, even as the text constructs part of that context, without ever belonging to it wholly or exclusively.</w:t>
      </w:r>
    </w:p>
    <w:p w14:paraId="18226C47" w14:textId="621D2AEF" w:rsidR="004B4EB1" w:rsidRDefault="004B4EB1" w:rsidP="00984771">
      <w:pPr>
        <w:spacing w:line="480" w:lineRule="auto"/>
        <w:rPr>
          <w:rFonts w:ascii="Times New Roman" w:hAnsi="Times New Roman" w:cs="Times New Roman"/>
          <w:color w:val="000000"/>
        </w:rPr>
      </w:pPr>
      <w:r>
        <w:rPr>
          <w:rFonts w:ascii="Times New Roman" w:hAnsi="Times New Roman" w:cs="Times New Roman"/>
          <w:color w:val="000000"/>
        </w:rPr>
        <w:tab/>
        <w:t xml:space="preserve">With this understanding of text and context, we can see why the meaning of text is no more dependent on the reader. </w:t>
      </w:r>
      <w:r w:rsidR="000712F5">
        <w:rPr>
          <w:rFonts w:ascii="Times New Roman" w:hAnsi="Times New Roman" w:cs="Times New Roman"/>
          <w:color w:val="000000"/>
        </w:rPr>
        <w:t>The</w:t>
      </w:r>
      <w:r>
        <w:rPr>
          <w:rFonts w:ascii="Times New Roman" w:hAnsi="Times New Roman" w:cs="Times New Roman"/>
          <w:color w:val="000000"/>
        </w:rPr>
        <w:t xml:space="preserve"> values of context-dependence and reader-dependence are</w:t>
      </w:r>
      <w:r w:rsidR="000712F5">
        <w:rPr>
          <w:rFonts w:ascii="Times New Roman" w:hAnsi="Times New Roman" w:cs="Times New Roman"/>
          <w:color w:val="000000"/>
        </w:rPr>
        <w:t xml:space="preserve"> in fact</w:t>
      </w:r>
      <w:r>
        <w:rPr>
          <w:rFonts w:ascii="Times New Roman" w:hAnsi="Times New Roman" w:cs="Times New Roman"/>
          <w:color w:val="000000"/>
        </w:rPr>
        <w:t xml:space="preserve"> opposed when </w:t>
      </w:r>
      <w:r w:rsidR="00B13683">
        <w:rPr>
          <w:rFonts w:ascii="Times New Roman" w:hAnsi="Times New Roman" w:cs="Times New Roman"/>
          <w:color w:val="000000"/>
        </w:rPr>
        <w:t xml:space="preserve">the latter is </w:t>
      </w:r>
      <w:r>
        <w:rPr>
          <w:rFonts w:ascii="Times New Roman" w:hAnsi="Times New Roman" w:cs="Times New Roman"/>
          <w:color w:val="000000"/>
        </w:rPr>
        <w:t xml:space="preserve">formulated as </w:t>
      </w:r>
      <w:r w:rsidR="00832A9D">
        <w:rPr>
          <w:rFonts w:ascii="Times New Roman" w:hAnsi="Times New Roman" w:cs="Times New Roman"/>
          <w:color w:val="000000"/>
        </w:rPr>
        <w:t>an active role of the reader</w:t>
      </w:r>
      <w:r>
        <w:rPr>
          <w:rFonts w:ascii="Times New Roman" w:hAnsi="Times New Roman" w:cs="Times New Roman"/>
          <w:color w:val="000000"/>
        </w:rPr>
        <w:t>. If the meaning of a reading depend</w:t>
      </w:r>
      <w:r w:rsidR="00832A9D">
        <w:rPr>
          <w:rFonts w:ascii="Times New Roman" w:hAnsi="Times New Roman" w:cs="Times New Roman"/>
          <w:color w:val="000000"/>
        </w:rPr>
        <w:t>s on that reading’s context, the</w:t>
      </w:r>
      <w:r>
        <w:rPr>
          <w:rFonts w:ascii="Times New Roman" w:hAnsi="Times New Roman" w:cs="Times New Roman"/>
          <w:color w:val="000000"/>
        </w:rPr>
        <w:t xml:space="preserve">n the reader has no freedom whatsoever in the act of reading, and the text will either appear to them in the present, fully formed context, or not at all. If we question the bond of context, we should not do so in the direction of thinking that the death of the author is the birth of the reader, that the reader is now free to choose among contexts and readings. </w:t>
      </w:r>
      <w:r w:rsidR="00832A9D">
        <w:rPr>
          <w:rFonts w:ascii="Times New Roman" w:hAnsi="Times New Roman" w:cs="Times New Roman"/>
          <w:color w:val="000000"/>
        </w:rPr>
        <w:t>T</w:t>
      </w:r>
      <w:r w:rsidR="009B512B">
        <w:rPr>
          <w:rFonts w:ascii="Times New Roman" w:hAnsi="Times New Roman" w:cs="Times New Roman"/>
          <w:color w:val="000000"/>
        </w:rPr>
        <w:t>he reader already finds th</w:t>
      </w:r>
      <w:r w:rsidR="00832A9D">
        <w:rPr>
          <w:rFonts w:ascii="Times New Roman" w:hAnsi="Times New Roman" w:cs="Times New Roman"/>
          <w:color w:val="000000"/>
        </w:rPr>
        <w:t>emselves implicated in the text</w:t>
      </w:r>
      <w:r w:rsidR="009B512B">
        <w:rPr>
          <w:rFonts w:ascii="Times New Roman" w:hAnsi="Times New Roman" w:cs="Times New Roman"/>
          <w:color w:val="000000"/>
        </w:rPr>
        <w:t xml:space="preserve"> and as a node in the interpretation that the text makes possible. </w:t>
      </w:r>
      <w:r w:rsidR="00266E4D">
        <w:rPr>
          <w:rFonts w:ascii="Times New Roman" w:hAnsi="Times New Roman" w:cs="Times New Roman"/>
          <w:color w:val="000000"/>
        </w:rPr>
        <w:t xml:space="preserve">Among the many ways our “context” depends on and is co-constructed by any text it encounters would be the necessity of </w:t>
      </w:r>
      <w:r w:rsidR="00FB2EEE">
        <w:rPr>
          <w:rFonts w:ascii="Times New Roman" w:hAnsi="Times New Roman" w:cs="Times New Roman"/>
          <w:color w:val="000000"/>
        </w:rPr>
        <w:t xml:space="preserve">positing our context against </w:t>
      </w:r>
      <w:r w:rsidR="00C61CF6">
        <w:rPr>
          <w:rFonts w:ascii="Times New Roman" w:hAnsi="Times New Roman" w:cs="Times New Roman"/>
          <w:color w:val="000000"/>
        </w:rPr>
        <w:t>an</w:t>
      </w:r>
      <w:r w:rsidR="00266E4D">
        <w:rPr>
          <w:rFonts w:ascii="Times New Roman" w:hAnsi="Times New Roman" w:cs="Times New Roman"/>
          <w:color w:val="000000"/>
        </w:rPr>
        <w:t xml:space="preserve">other context, for example that of the </w:t>
      </w:r>
      <w:r w:rsidR="00266E4D">
        <w:rPr>
          <w:rFonts w:ascii="Times New Roman" w:hAnsi="Times New Roman" w:cs="Times New Roman"/>
          <w:i/>
          <w:color w:val="000000"/>
        </w:rPr>
        <w:t>Quixote</w:t>
      </w:r>
      <w:r w:rsidR="00266E4D">
        <w:rPr>
          <w:rFonts w:ascii="Times New Roman" w:hAnsi="Times New Roman" w:cs="Times New Roman"/>
          <w:color w:val="000000"/>
        </w:rPr>
        <w:t xml:space="preserve"> (sketched by our narrator as a time period, a language, a religion, the wars </w:t>
      </w:r>
      <w:r w:rsidR="00FB2EEE">
        <w:rPr>
          <w:rFonts w:ascii="Times New Roman" w:hAnsi="Times New Roman" w:cs="Times New Roman"/>
          <w:color w:val="000000"/>
        </w:rPr>
        <w:t>among</w:t>
      </w:r>
      <w:r w:rsidR="00266E4D">
        <w:rPr>
          <w:rFonts w:ascii="Times New Roman" w:hAnsi="Times New Roman" w:cs="Times New Roman"/>
          <w:color w:val="000000"/>
        </w:rPr>
        <w:t xml:space="preserve"> cultures, an author)</w:t>
      </w:r>
      <w:r w:rsidR="00FB2EEE">
        <w:rPr>
          <w:rFonts w:ascii="Times New Roman" w:hAnsi="Times New Roman" w:cs="Times New Roman"/>
          <w:color w:val="000000"/>
        </w:rPr>
        <w:t xml:space="preserve">. To read the </w:t>
      </w:r>
      <w:r w:rsidR="00FB2EEE" w:rsidRPr="00FB2EEE">
        <w:rPr>
          <w:rFonts w:ascii="Times New Roman" w:hAnsi="Times New Roman" w:cs="Times New Roman"/>
          <w:i/>
          <w:color w:val="000000"/>
        </w:rPr>
        <w:t>Quixote</w:t>
      </w:r>
      <w:r w:rsidR="00FB2EEE">
        <w:rPr>
          <w:rFonts w:ascii="Times New Roman" w:hAnsi="Times New Roman" w:cs="Times New Roman"/>
          <w:color w:val="000000"/>
        </w:rPr>
        <w:t xml:space="preserve"> as a twentieth-century French symbolist, or a twenty-first century literary critic, one must first read it as something else, one must read everything one does against what one assumes to be the proper, original, authorial context of that work, which means that </w:t>
      </w:r>
      <w:r w:rsidR="00FB2EEE">
        <w:rPr>
          <w:rFonts w:ascii="Times New Roman" w:hAnsi="Times New Roman" w:cs="Times New Roman"/>
          <w:i/>
          <w:color w:val="000000"/>
        </w:rPr>
        <w:t>both</w:t>
      </w:r>
      <w:r w:rsidR="00FB2EEE">
        <w:rPr>
          <w:rFonts w:ascii="Times New Roman" w:hAnsi="Times New Roman" w:cs="Times New Roman"/>
          <w:color w:val="000000"/>
        </w:rPr>
        <w:t xml:space="preserve"> the “original” context and my own </w:t>
      </w:r>
      <w:r w:rsidR="00FB2EEE">
        <w:rPr>
          <w:rFonts w:ascii="Times New Roman" w:hAnsi="Times New Roman" w:cs="Times New Roman"/>
          <w:i/>
          <w:color w:val="000000"/>
        </w:rPr>
        <w:t>are given to me by the text</w:t>
      </w:r>
      <w:r w:rsidR="00FB2EEE">
        <w:rPr>
          <w:rFonts w:ascii="Times New Roman" w:hAnsi="Times New Roman" w:cs="Times New Roman"/>
          <w:color w:val="000000"/>
        </w:rPr>
        <w:t>. The reader is a gift of the text.</w:t>
      </w:r>
      <w:r w:rsidR="00CF64B4">
        <w:rPr>
          <w:rFonts w:ascii="Times New Roman" w:hAnsi="Times New Roman" w:cs="Times New Roman"/>
          <w:color w:val="000000"/>
        </w:rPr>
        <w:t xml:space="preserve"> This does not mean that the text becomes a sovereign lord that reads and worships itself eternally; </w:t>
      </w:r>
      <w:r w:rsidR="00E37221">
        <w:rPr>
          <w:rFonts w:ascii="Times New Roman" w:hAnsi="Times New Roman" w:cs="Times New Roman"/>
          <w:color w:val="000000"/>
        </w:rPr>
        <w:t>the free play and dissemination of interpretation, gestured towards in the story’s final paragraph, still remains alongside any attempt at an authoritative reading; one is not possible without the other.</w:t>
      </w:r>
      <w:r w:rsidR="00164CAA">
        <w:rPr>
          <w:rFonts w:ascii="Times New Roman" w:hAnsi="Times New Roman" w:cs="Times New Roman"/>
          <w:color w:val="000000"/>
        </w:rPr>
        <w:t xml:space="preserve"> We will never have </w:t>
      </w:r>
      <w:r w:rsidR="00164CAA">
        <w:rPr>
          <w:rFonts w:ascii="Times New Roman" w:hAnsi="Times New Roman" w:cs="Times New Roman"/>
          <w:color w:val="000000"/>
        </w:rPr>
        <w:lastRenderedPageBreak/>
        <w:t>finished sorting author</w:t>
      </w:r>
      <w:r w:rsidR="001C2727">
        <w:rPr>
          <w:rFonts w:ascii="Times New Roman" w:hAnsi="Times New Roman" w:cs="Times New Roman"/>
          <w:color w:val="000000"/>
        </w:rPr>
        <w:t xml:space="preserve"> from reader, text from context</w:t>
      </w:r>
      <w:r w:rsidR="00483557">
        <w:rPr>
          <w:rFonts w:ascii="Times New Roman" w:hAnsi="Times New Roman" w:cs="Times New Roman"/>
          <w:color w:val="000000"/>
        </w:rPr>
        <w:t>, such that any term would stand on its own</w:t>
      </w:r>
      <w:r w:rsidR="00390385">
        <w:rPr>
          <w:rFonts w:ascii="Times New Roman" w:hAnsi="Times New Roman" w:cs="Times New Roman"/>
          <w:color w:val="000000"/>
        </w:rPr>
        <w:t>.</w:t>
      </w:r>
      <w:r w:rsidR="00164CAA">
        <w:rPr>
          <w:rFonts w:ascii="Times New Roman" w:hAnsi="Times New Roman" w:cs="Times New Roman"/>
          <w:color w:val="000000"/>
        </w:rPr>
        <w:t xml:space="preserve"> </w:t>
      </w:r>
      <w:r w:rsidR="00DA0538">
        <w:rPr>
          <w:rFonts w:ascii="Times New Roman" w:hAnsi="Times New Roman" w:cs="Times New Roman"/>
          <w:color w:val="000000"/>
        </w:rPr>
        <w:t>To see t</w:t>
      </w:r>
      <w:r w:rsidR="00E17373">
        <w:rPr>
          <w:rFonts w:ascii="Times New Roman" w:hAnsi="Times New Roman" w:cs="Times New Roman"/>
          <w:color w:val="000000"/>
        </w:rPr>
        <w:t xml:space="preserve">hat Borges understood this problem of reading, that he saw the reader sinking into the web </w:t>
      </w:r>
      <w:r w:rsidR="00DA0538">
        <w:rPr>
          <w:rFonts w:ascii="Times New Roman" w:hAnsi="Times New Roman" w:cs="Times New Roman"/>
          <w:color w:val="000000"/>
        </w:rPr>
        <w:t xml:space="preserve">of the text, it is enough to remember that the two narrators whose stories we have </w:t>
      </w:r>
      <w:r w:rsidR="00390385">
        <w:rPr>
          <w:rFonts w:ascii="Times New Roman" w:hAnsi="Times New Roman" w:cs="Times New Roman"/>
          <w:color w:val="000000"/>
        </w:rPr>
        <w:t>recited</w:t>
      </w:r>
      <w:r w:rsidR="00DA0538">
        <w:rPr>
          <w:rFonts w:ascii="Times New Roman" w:hAnsi="Times New Roman" w:cs="Times New Roman"/>
          <w:color w:val="000000"/>
        </w:rPr>
        <w:t xml:space="preserve"> here, whose ignorance Borges himself did not feel he was able to overcome, are both—librarian and critic—cast in the role of the reader.</w:t>
      </w:r>
      <w:r w:rsidR="00146D61">
        <w:rPr>
          <w:rStyle w:val="FootnoteReference"/>
          <w:rFonts w:ascii="Times New Roman" w:hAnsi="Times New Roman" w:cs="Times New Roman"/>
          <w:color w:val="000000"/>
        </w:rPr>
        <w:footnoteReference w:id="16"/>
      </w:r>
    </w:p>
    <w:p w14:paraId="7BA0AA0B" w14:textId="757A3A4C" w:rsidR="00547E65" w:rsidRDefault="00547E65" w:rsidP="00984771">
      <w:pPr>
        <w:spacing w:line="480" w:lineRule="auto"/>
        <w:rPr>
          <w:rFonts w:ascii="Times New Roman" w:hAnsi="Times New Roman" w:cs="Times New Roman"/>
          <w:color w:val="000000"/>
        </w:rPr>
      </w:pPr>
      <w:r>
        <w:rPr>
          <w:rFonts w:ascii="Times New Roman" w:hAnsi="Times New Roman" w:cs="Times New Roman"/>
          <w:color w:val="000000"/>
        </w:rPr>
        <w:tab/>
      </w:r>
      <w:r w:rsidR="00D308A9">
        <w:rPr>
          <w:rFonts w:ascii="Times New Roman" w:hAnsi="Times New Roman" w:cs="Times New Roman"/>
          <w:color w:val="000000"/>
        </w:rPr>
        <w:t xml:space="preserve">This brief glimpse at two of Borges’s fictions </w:t>
      </w:r>
      <w:r w:rsidR="00DC67F9">
        <w:rPr>
          <w:rFonts w:ascii="Times New Roman" w:hAnsi="Times New Roman" w:cs="Times New Roman"/>
          <w:color w:val="000000"/>
        </w:rPr>
        <w:t>suggests broader strategies of reading for his trickster’s corpus.</w:t>
      </w:r>
      <w:r w:rsidR="002F26B7">
        <w:rPr>
          <w:rFonts w:ascii="Times New Roman" w:hAnsi="Times New Roman" w:cs="Times New Roman"/>
          <w:color w:val="000000"/>
        </w:rPr>
        <w:t xml:space="preserve"> </w:t>
      </w:r>
      <w:r w:rsidR="00CA160F">
        <w:rPr>
          <w:rFonts w:ascii="Times New Roman" w:hAnsi="Times New Roman" w:cs="Times New Roman"/>
          <w:color w:val="000000"/>
        </w:rPr>
        <w:t>An</w:t>
      </w:r>
      <w:r w:rsidR="0093675D">
        <w:rPr>
          <w:rFonts w:ascii="Times New Roman" w:hAnsi="Times New Roman" w:cs="Times New Roman"/>
          <w:color w:val="000000"/>
        </w:rPr>
        <w:t xml:space="preserve"> irony of narrative form can be found in most of</w:t>
      </w:r>
      <w:r w:rsidR="00114B93">
        <w:rPr>
          <w:rFonts w:ascii="Times New Roman" w:hAnsi="Times New Roman" w:cs="Times New Roman"/>
          <w:color w:val="000000"/>
        </w:rPr>
        <w:t xml:space="preserve"> his stories, at least from the period of </w:t>
      </w:r>
      <w:proofErr w:type="spellStart"/>
      <w:r w:rsidR="00114B93">
        <w:rPr>
          <w:rFonts w:ascii="Times New Roman" w:hAnsi="Times New Roman" w:cs="Times New Roman"/>
          <w:i/>
          <w:color w:val="000000"/>
        </w:rPr>
        <w:t>Ficciones</w:t>
      </w:r>
      <w:proofErr w:type="spellEnd"/>
      <w:r w:rsidR="00114B93">
        <w:rPr>
          <w:rFonts w:ascii="Times New Roman" w:hAnsi="Times New Roman" w:cs="Times New Roman"/>
          <w:color w:val="000000"/>
        </w:rPr>
        <w:t xml:space="preserve"> and </w:t>
      </w:r>
      <w:r w:rsidR="00114B93">
        <w:rPr>
          <w:rFonts w:ascii="Times New Roman" w:hAnsi="Times New Roman" w:cs="Times New Roman"/>
          <w:i/>
          <w:color w:val="000000"/>
        </w:rPr>
        <w:t>El Aleph</w:t>
      </w:r>
      <w:r w:rsidR="00114B93">
        <w:rPr>
          <w:rFonts w:ascii="Times New Roman" w:hAnsi="Times New Roman" w:cs="Times New Roman"/>
          <w:color w:val="000000"/>
        </w:rPr>
        <w:t xml:space="preserve">, and his essays, lectures, and interviews, his writings where he takes positions and makes assertions, should be read always with an eye to how he contradicts and undermines those positions in other work, non-fictional or fictional. </w:t>
      </w:r>
      <w:r w:rsidR="003D716D">
        <w:rPr>
          <w:rFonts w:ascii="Times New Roman" w:hAnsi="Times New Roman" w:cs="Times New Roman"/>
          <w:color w:val="000000"/>
        </w:rPr>
        <w:t xml:space="preserve">This approach offers a counterbalance to the attempts to read his body of work as an expression of philosophy or a religious mysticism. </w:t>
      </w:r>
      <w:r w:rsidR="00055644">
        <w:rPr>
          <w:rFonts w:ascii="Times New Roman" w:hAnsi="Times New Roman" w:cs="Times New Roman"/>
          <w:color w:val="000000"/>
        </w:rPr>
        <w:t>His</w:t>
      </w:r>
      <w:r w:rsidR="0095439E">
        <w:rPr>
          <w:rFonts w:ascii="Times New Roman" w:hAnsi="Times New Roman" w:cs="Times New Roman"/>
          <w:color w:val="000000"/>
        </w:rPr>
        <w:t xml:space="preserve"> interest in skepticism, idealism, and nominalism is perhaps limited to the force of negation these doctrines offer toward other philosophical doctrines, an interest he will not carry to the point of becoming a doctrinal thinker himself. </w:t>
      </w:r>
      <w:r w:rsidR="00290C8D">
        <w:rPr>
          <w:rFonts w:ascii="Times New Roman" w:hAnsi="Times New Roman" w:cs="Times New Roman"/>
          <w:color w:val="000000"/>
        </w:rPr>
        <w:t xml:space="preserve">And the expressions of </w:t>
      </w:r>
      <w:proofErr w:type="spellStart"/>
      <w:r w:rsidR="00290C8D">
        <w:rPr>
          <w:rFonts w:ascii="Times New Roman" w:hAnsi="Times New Roman" w:cs="Times New Roman"/>
          <w:color w:val="000000"/>
        </w:rPr>
        <w:t>romantico</w:t>
      </w:r>
      <w:proofErr w:type="spellEnd"/>
      <w:r w:rsidR="00290C8D">
        <w:rPr>
          <w:rFonts w:ascii="Times New Roman" w:hAnsi="Times New Roman" w:cs="Times New Roman"/>
          <w:color w:val="000000"/>
        </w:rPr>
        <w:t>-mystical unity in his stories and essays can always be found to be undermined by irony and self-contradiction.</w:t>
      </w:r>
      <w:r w:rsidR="00A57D43">
        <w:rPr>
          <w:rFonts w:ascii="Times New Roman" w:hAnsi="Times New Roman" w:cs="Times New Roman"/>
          <w:color w:val="000000"/>
        </w:rPr>
        <w:t xml:space="preserve"> </w:t>
      </w:r>
      <w:r w:rsidR="006B6137">
        <w:rPr>
          <w:rFonts w:ascii="Times New Roman" w:hAnsi="Times New Roman" w:cs="Times New Roman"/>
          <w:color w:val="000000"/>
        </w:rPr>
        <w:t xml:space="preserve">Ana María </w:t>
      </w:r>
      <w:proofErr w:type="spellStart"/>
      <w:r w:rsidR="006B6137">
        <w:rPr>
          <w:rFonts w:ascii="Times New Roman" w:hAnsi="Times New Roman" w:cs="Times New Roman"/>
          <w:color w:val="000000"/>
        </w:rPr>
        <w:t>Barrenechea</w:t>
      </w:r>
      <w:proofErr w:type="spellEnd"/>
      <w:r w:rsidR="006B6137">
        <w:rPr>
          <w:rFonts w:ascii="Times New Roman" w:hAnsi="Times New Roman" w:cs="Times New Roman"/>
          <w:color w:val="000000"/>
        </w:rPr>
        <w:t xml:space="preserve"> expresses something like this when she says that Borges’s work “does not contain the coherent evolution of metaphysical thought nor a doctrine,” and that he “create[s] a literature out of literature and philosophy” (144). </w:t>
      </w:r>
      <w:r w:rsidR="000E1844">
        <w:rPr>
          <w:rFonts w:ascii="Times New Roman" w:hAnsi="Times New Roman" w:cs="Times New Roman"/>
          <w:color w:val="000000"/>
        </w:rPr>
        <w:t xml:space="preserve">Jaime </w:t>
      </w:r>
      <w:proofErr w:type="spellStart"/>
      <w:r w:rsidR="000E1844">
        <w:rPr>
          <w:rFonts w:ascii="Times New Roman" w:hAnsi="Times New Roman" w:cs="Times New Roman"/>
          <w:color w:val="000000"/>
        </w:rPr>
        <w:lastRenderedPageBreak/>
        <w:t>Alazraki’s</w:t>
      </w:r>
      <w:proofErr w:type="spellEnd"/>
      <w:r w:rsidR="000E1844">
        <w:rPr>
          <w:rFonts w:ascii="Times New Roman" w:hAnsi="Times New Roman" w:cs="Times New Roman"/>
          <w:color w:val="000000"/>
        </w:rPr>
        <w:t xml:space="preserve"> suggestion that Borges’s Cabbalistic play does without monotheism opens the infinite possibilities of meaning and being onto an abyss, severing them from the ground of a divine intention. </w:t>
      </w:r>
      <w:r w:rsidR="003977E4">
        <w:rPr>
          <w:rFonts w:ascii="Times New Roman" w:hAnsi="Times New Roman" w:cs="Times New Roman"/>
          <w:color w:val="000000"/>
        </w:rPr>
        <w:t>To suggest that Borges’s writing</w:t>
      </w:r>
      <w:r w:rsidR="00533E12">
        <w:rPr>
          <w:rFonts w:ascii="Times New Roman" w:hAnsi="Times New Roman" w:cs="Times New Roman"/>
          <w:color w:val="000000"/>
        </w:rPr>
        <w:t xml:space="preserve"> </w:t>
      </w:r>
      <w:r w:rsidR="003977E4">
        <w:rPr>
          <w:rFonts w:ascii="Times New Roman" w:hAnsi="Times New Roman" w:cs="Times New Roman"/>
          <w:color w:val="000000"/>
        </w:rPr>
        <w:t>must be read as literature,</w:t>
      </w:r>
      <w:r w:rsidR="00533E12">
        <w:rPr>
          <w:rFonts w:ascii="Times New Roman" w:hAnsi="Times New Roman" w:cs="Times New Roman"/>
          <w:color w:val="000000"/>
        </w:rPr>
        <w:t xml:space="preserve"> rather than philosophy or mysticism,</w:t>
      </w:r>
      <w:r w:rsidR="003977E4">
        <w:rPr>
          <w:rFonts w:ascii="Times New Roman" w:hAnsi="Times New Roman" w:cs="Times New Roman"/>
          <w:color w:val="000000"/>
        </w:rPr>
        <w:t xml:space="preserve"> is to suggest that it </w:t>
      </w:r>
      <w:r w:rsidR="003977E4" w:rsidRPr="003977E4">
        <w:rPr>
          <w:rFonts w:ascii="Times New Roman" w:hAnsi="Times New Roman" w:cs="Times New Roman"/>
          <w:i/>
          <w:color w:val="000000"/>
        </w:rPr>
        <w:t xml:space="preserve">must </w:t>
      </w:r>
      <w:r w:rsidR="003977E4">
        <w:rPr>
          <w:rFonts w:ascii="Times New Roman" w:hAnsi="Times New Roman" w:cs="Times New Roman"/>
          <w:i/>
          <w:color w:val="000000"/>
        </w:rPr>
        <w:t>be read</w:t>
      </w:r>
      <w:r w:rsidR="003977E4">
        <w:rPr>
          <w:rFonts w:ascii="Times New Roman" w:hAnsi="Times New Roman" w:cs="Times New Roman"/>
          <w:color w:val="000000"/>
        </w:rPr>
        <w:t xml:space="preserve">. Perhaps more than any author before him, or at least in a way that awakened our sensitivity to all his precursors, he played with the possibilities of textuality that condition what we know as literature. As well as philosophy, theology, </w:t>
      </w:r>
      <w:r w:rsidR="009B7A8D">
        <w:rPr>
          <w:rFonts w:ascii="Times New Roman" w:hAnsi="Times New Roman" w:cs="Times New Roman"/>
          <w:color w:val="000000"/>
        </w:rPr>
        <w:t>science, history</w:t>
      </w:r>
      <w:r w:rsidR="003977E4">
        <w:rPr>
          <w:rFonts w:ascii="Times New Roman" w:hAnsi="Times New Roman" w:cs="Times New Roman"/>
          <w:color w:val="000000"/>
        </w:rPr>
        <w:t>…</w:t>
      </w:r>
    </w:p>
    <w:p w14:paraId="6D1B7C67" w14:textId="0EF543FA" w:rsidR="00326CC4" w:rsidRDefault="00326CC4" w:rsidP="00326CC4">
      <w:pPr>
        <w:spacing w:line="480" w:lineRule="auto"/>
        <w:jc w:val="right"/>
        <w:rPr>
          <w:rFonts w:ascii="Times New Roman" w:hAnsi="Times New Roman" w:cs="Times New Roman"/>
          <w:color w:val="000000"/>
        </w:rPr>
      </w:pPr>
      <w:r>
        <w:rPr>
          <w:rFonts w:ascii="Times New Roman" w:hAnsi="Times New Roman" w:cs="Times New Roman"/>
          <w:color w:val="000000"/>
        </w:rPr>
        <w:t>JB, Atlanta, 2018</w:t>
      </w:r>
    </w:p>
    <w:p w14:paraId="723D7FCB" w14:textId="77777777" w:rsidR="00BB6EB9" w:rsidRDefault="00BB6EB9" w:rsidP="00326CC4">
      <w:pPr>
        <w:spacing w:line="480" w:lineRule="auto"/>
        <w:jc w:val="right"/>
        <w:rPr>
          <w:rFonts w:ascii="Times New Roman" w:hAnsi="Times New Roman" w:cs="Times New Roman"/>
          <w:color w:val="000000"/>
        </w:rPr>
      </w:pPr>
    </w:p>
    <w:p w14:paraId="6AE857AD" w14:textId="15B5EA03" w:rsidR="003A72C0" w:rsidRPr="006C4739" w:rsidRDefault="00EB0740" w:rsidP="006C4739">
      <w:pPr>
        <w:spacing w:line="480" w:lineRule="auto"/>
        <w:rPr>
          <w:rFonts w:ascii="Times New Roman" w:hAnsi="Times New Roman" w:cs="Times New Roman"/>
          <w:color w:val="000000"/>
        </w:rPr>
      </w:pPr>
      <w:proofErr w:type="spellStart"/>
      <w:r>
        <w:rPr>
          <w:rFonts w:ascii="Times New Roman" w:hAnsi="Times New Roman" w:cs="Times New Roman"/>
          <w:i/>
          <w:color w:val="000000"/>
        </w:rPr>
        <w:t>Postscriptum</w:t>
      </w:r>
      <w:proofErr w:type="spellEnd"/>
      <w:r>
        <w:rPr>
          <w:rFonts w:ascii="Times New Roman" w:hAnsi="Times New Roman" w:cs="Times New Roman"/>
          <w:color w:val="000000"/>
        </w:rPr>
        <w:t xml:space="preserve"> </w:t>
      </w:r>
      <w:r w:rsidR="00BB6EB9">
        <w:rPr>
          <w:rFonts w:ascii="Times New Roman" w:hAnsi="Times New Roman" w:cs="Times New Roman"/>
          <w:i/>
          <w:color w:val="000000"/>
        </w:rPr>
        <w:t xml:space="preserve">. . . </w:t>
      </w:r>
      <w:r w:rsidR="00EF404D" w:rsidRPr="00EF404D">
        <w:rPr>
          <w:rFonts w:ascii="Times New Roman" w:hAnsi="Times New Roman" w:cs="Times New Roman"/>
          <w:i/>
          <w:color w:val="000000"/>
        </w:rPr>
        <w:t>And if</w:t>
      </w:r>
      <w:r w:rsidR="00EF404D">
        <w:rPr>
          <w:rFonts w:ascii="Times New Roman" w:hAnsi="Times New Roman" w:cs="Times New Roman"/>
          <w:i/>
          <w:color w:val="000000"/>
        </w:rPr>
        <w:t xml:space="preserve"> it were possible to read any text, that of Borges or even this here, as written by the other? As inscrutable as the most esoteric sacred text, one could only intimate its author’s voice by interpreting their resounding silence. </w:t>
      </w:r>
      <w:r w:rsidR="00BB6EB9">
        <w:rPr>
          <w:rFonts w:ascii="Times New Roman" w:hAnsi="Times New Roman" w:cs="Times New Roman"/>
          <w:i/>
          <w:color w:val="000000"/>
        </w:rPr>
        <w:t xml:space="preserve">Simultaneously more and less sovereign than the God who appeared to Job to declare His own </w:t>
      </w:r>
      <w:r w:rsidR="00B3612F">
        <w:rPr>
          <w:rFonts w:ascii="Times New Roman" w:hAnsi="Times New Roman" w:cs="Times New Roman"/>
          <w:i/>
          <w:color w:val="000000"/>
        </w:rPr>
        <w:t>unintelligibility</w:t>
      </w:r>
      <w:r w:rsidR="00BB6EB9">
        <w:rPr>
          <w:rFonts w:ascii="Times New Roman" w:hAnsi="Times New Roman" w:cs="Times New Roman"/>
          <w:i/>
          <w:color w:val="000000"/>
        </w:rPr>
        <w:t xml:space="preserve">, dividing and multiplying the figure of sovereignty, this other author or </w:t>
      </w:r>
      <w:r w:rsidR="006C4739">
        <w:rPr>
          <w:rFonts w:ascii="Times New Roman" w:hAnsi="Times New Roman" w:cs="Times New Roman"/>
          <w:i/>
          <w:color w:val="000000"/>
        </w:rPr>
        <w:t>other of the author</w:t>
      </w:r>
      <w:r w:rsidR="00BB6EB9">
        <w:rPr>
          <w:rFonts w:ascii="Times New Roman" w:hAnsi="Times New Roman" w:cs="Times New Roman"/>
          <w:i/>
          <w:color w:val="000000"/>
        </w:rPr>
        <w:t xml:space="preserve"> </w:t>
      </w:r>
      <w:r w:rsidR="005F417B">
        <w:rPr>
          <w:rFonts w:ascii="Times New Roman" w:hAnsi="Times New Roman" w:cs="Times New Roman"/>
          <w:i/>
          <w:color w:val="000000"/>
        </w:rPr>
        <w:t xml:space="preserve">would promise neither revelation or transcendence, would play at appearing in order to play at disappearing, could not even guarantee whether it gave or received pleasure or pain in this </w:t>
      </w:r>
      <w:r w:rsidR="007A7324">
        <w:rPr>
          <w:rFonts w:ascii="Times New Roman" w:hAnsi="Times New Roman" w:cs="Times New Roman"/>
          <w:i/>
          <w:color w:val="000000"/>
        </w:rPr>
        <w:t>strange</w:t>
      </w:r>
      <w:r w:rsidR="005F417B">
        <w:rPr>
          <w:rFonts w:ascii="Times New Roman" w:hAnsi="Times New Roman" w:cs="Times New Roman"/>
          <w:i/>
          <w:color w:val="000000"/>
        </w:rPr>
        <w:t xml:space="preserve"> game played by all and none. </w:t>
      </w:r>
      <w:r w:rsidR="00BB010B">
        <w:rPr>
          <w:rFonts w:ascii="Times New Roman" w:hAnsi="Times New Roman" w:cs="Times New Roman"/>
          <w:i/>
          <w:color w:val="000000"/>
        </w:rPr>
        <w:t xml:space="preserve">Does it call for or remain indifferent to the reading of the other? </w:t>
      </w:r>
      <w:r w:rsidR="003217D4">
        <w:rPr>
          <w:rFonts w:ascii="Times New Roman" w:hAnsi="Times New Roman" w:cs="Times New Roman"/>
          <w:i/>
          <w:color w:val="000000"/>
        </w:rPr>
        <w:t xml:space="preserve">That reader who is never there where we are, </w:t>
      </w:r>
      <w:r w:rsidR="00CA5210">
        <w:rPr>
          <w:rFonts w:ascii="Times New Roman" w:hAnsi="Times New Roman" w:cs="Times New Roman"/>
          <w:i/>
          <w:color w:val="000000"/>
        </w:rPr>
        <w:t>who seems as</w:t>
      </w:r>
      <w:r w:rsidR="004C6989">
        <w:rPr>
          <w:rFonts w:ascii="Times New Roman" w:hAnsi="Times New Roman" w:cs="Times New Roman"/>
          <w:i/>
          <w:color w:val="000000"/>
        </w:rPr>
        <w:t xml:space="preserve"> close as the text we hold, part of that very text, and yet who we can only watch recede endlessly in time and space, only</w:t>
      </w:r>
      <w:r w:rsidR="00154479">
        <w:rPr>
          <w:rFonts w:ascii="Times New Roman" w:hAnsi="Times New Roman" w:cs="Times New Roman"/>
          <w:i/>
          <w:color w:val="000000"/>
        </w:rPr>
        <w:t xml:space="preserve"> ever</w:t>
      </w:r>
      <w:r w:rsidR="004C6989">
        <w:rPr>
          <w:rFonts w:ascii="Times New Roman" w:hAnsi="Times New Roman" w:cs="Times New Roman"/>
          <w:i/>
          <w:color w:val="000000"/>
        </w:rPr>
        <w:t xml:space="preserve"> to be found in another context</w:t>
      </w:r>
      <w:r w:rsidR="00335E26">
        <w:rPr>
          <w:rFonts w:ascii="Times New Roman" w:hAnsi="Times New Roman" w:cs="Times New Roman"/>
          <w:i/>
          <w:color w:val="000000"/>
        </w:rPr>
        <w:t>…</w:t>
      </w:r>
      <w:r w:rsidR="00154479">
        <w:rPr>
          <w:rFonts w:ascii="Times New Roman" w:hAnsi="Times New Roman" w:cs="Times New Roman"/>
          <w:i/>
          <w:color w:val="000000"/>
        </w:rPr>
        <w:t xml:space="preserve"> </w:t>
      </w:r>
      <w:r w:rsidR="003A72C0">
        <w:rPr>
          <w:rFonts w:ascii="Times New Roman" w:hAnsi="Times New Roman" w:cs="Times New Roman"/>
        </w:rPr>
        <w:br w:type="page"/>
      </w:r>
    </w:p>
    <w:p w14:paraId="6E786B80" w14:textId="6D382EC1" w:rsidR="00497220" w:rsidRPr="00497220" w:rsidRDefault="00497220" w:rsidP="00A63927">
      <w:pPr>
        <w:outlineLvl w:val="0"/>
        <w:rPr>
          <w:rFonts w:ascii="Times New Roman" w:hAnsi="Times New Roman" w:cs="Times New Roman"/>
          <w:b/>
        </w:rPr>
      </w:pPr>
      <w:r w:rsidRPr="00497220">
        <w:rPr>
          <w:rFonts w:ascii="Times New Roman" w:hAnsi="Times New Roman" w:cs="Times New Roman"/>
          <w:b/>
        </w:rPr>
        <w:lastRenderedPageBreak/>
        <w:t>Works Cited</w:t>
      </w:r>
    </w:p>
    <w:p w14:paraId="2659807B" w14:textId="5832A0AA" w:rsidR="00E52EEE" w:rsidRPr="00E52EEE" w:rsidRDefault="00E52EEE" w:rsidP="0067370C">
      <w:pPr>
        <w:pStyle w:val="Footnote"/>
        <w:ind w:left="360" w:hanging="360"/>
        <w:rPr>
          <w:rFonts w:ascii="Times New Roman" w:hAnsi="Times New Roman"/>
          <w:sz w:val="24"/>
          <w:szCs w:val="24"/>
        </w:rPr>
      </w:pPr>
      <w:proofErr w:type="spellStart"/>
      <w:r>
        <w:rPr>
          <w:rFonts w:ascii="Times New Roman" w:hAnsi="Times New Roman"/>
          <w:sz w:val="24"/>
          <w:szCs w:val="24"/>
        </w:rPr>
        <w:t>Alazraki</w:t>
      </w:r>
      <w:proofErr w:type="spellEnd"/>
      <w:r>
        <w:rPr>
          <w:rFonts w:ascii="Times New Roman" w:hAnsi="Times New Roman"/>
          <w:sz w:val="24"/>
          <w:szCs w:val="24"/>
        </w:rPr>
        <w:t xml:space="preserve">, Jaime. </w:t>
      </w:r>
      <w:r>
        <w:rPr>
          <w:rFonts w:ascii="Times New Roman" w:hAnsi="Times New Roman"/>
          <w:i/>
          <w:sz w:val="24"/>
          <w:szCs w:val="24"/>
        </w:rPr>
        <w:t>Borges and the Kabbalah</w:t>
      </w:r>
      <w:r>
        <w:rPr>
          <w:rFonts w:ascii="Times New Roman" w:hAnsi="Times New Roman"/>
          <w:sz w:val="24"/>
          <w:szCs w:val="24"/>
        </w:rPr>
        <w:t>. Cambridge: Cambridge UP, 1988.</w:t>
      </w:r>
    </w:p>
    <w:p w14:paraId="1CC0FDD2" w14:textId="2F59E2AB" w:rsidR="0067370C" w:rsidRDefault="0067370C" w:rsidP="0067370C">
      <w:pPr>
        <w:pStyle w:val="Footnote"/>
        <w:ind w:left="360" w:hanging="360"/>
        <w:rPr>
          <w:rFonts w:ascii="Times New Roman" w:hAnsi="Times New Roman"/>
          <w:sz w:val="24"/>
          <w:szCs w:val="24"/>
          <w:lang w:val="de-DE"/>
        </w:rPr>
      </w:pPr>
      <w:proofErr w:type="spellStart"/>
      <w:r>
        <w:rPr>
          <w:rFonts w:ascii="Times New Roman" w:hAnsi="Times New Roman"/>
          <w:sz w:val="24"/>
          <w:szCs w:val="24"/>
        </w:rPr>
        <w:t>Badmington</w:t>
      </w:r>
      <w:proofErr w:type="spellEnd"/>
      <w:r>
        <w:rPr>
          <w:rFonts w:ascii="Times New Roman" w:hAnsi="Times New Roman"/>
          <w:sz w:val="24"/>
          <w:szCs w:val="24"/>
        </w:rPr>
        <w:t>, Neil. “</w:t>
      </w:r>
      <w:proofErr w:type="spellStart"/>
      <w:r>
        <w:rPr>
          <w:rFonts w:ascii="Times New Roman" w:hAnsi="Times New Roman"/>
          <w:sz w:val="24"/>
          <w:szCs w:val="24"/>
        </w:rPr>
        <w:t>Babelation</w:t>
      </w:r>
      <w:proofErr w:type="spellEnd"/>
      <w:r>
        <w:rPr>
          <w:rFonts w:ascii="Times New Roman" w:hAnsi="Times New Roman"/>
          <w:sz w:val="24"/>
          <w:szCs w:val="24"/>
        </w:rPr>
        <w:t xml:space="preserve">.” </w:t>
      </w:r>
      <w:r>
        <w:rPr>
          <w:rFonts w:ascii="Times New Roman" w:hAnsi="Times New Roman"/>
          <w:i/>
          <w:iCs/>
          <w:sz w:val="24"/>
          <w:szCs w:val="24"/>
        </w:rPr>
        <w:t>Cy-Borges: Memories of the Posthuman in the Work of Jorge Luis Borges</w:t>
      </w:r>
      <w:r>
        <w:rPr>
          <w:rFonts w:ascii="Times New Roman" w:hAnsi="Times New Roman"/>
          <w:sz w:val="24"/>
          <w:szCs w:val="24"/>
        </w:rPr>
        <w:t>. Eds.</w:t>
      </w:r>
      <w:r>
        <w:rPr>
          <w:rFonts w:ascii="Times New Roman" w:hAnsi="Times New Roman"/>
          <w:sz w:val="24"/>
          <w:szCs w:val="24"/>
          <w:lang w:val="de-DE"/>
        </w:rPr>
        <w:t xml:space="preserve"> Stefan </w:t>
      </w:r>
      <w:proofErr w:type="spellStart"/>
      <w:r>
        <w:rPr>
          <w:rFonts w:ascii="Times New Roman" w:hAnsi="Times New Roman"/>
          <w:sz w:val="24"/>
          <w:szCs w:val="24"/>
          <w:lang w:val="de-DE"/>
        </w:rPr>
        <w:t>Herbrechter</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and</w:t>
      </w:r>
      <w:proofErr w:type="spellEnd"/>
      <w:r>
        <w:rPr>
          <w:rFonts w:ascii="Times New Roman" w:hAnsi="Times New Roman"/>
          <w:sz w:val="24"/>
          <w:szCs w:val="24"/>
          <w:lang w:val="de-DE"/>
        </w:rPr>
        <w:t xml:space="preserve"> Ivan </w:t>
      </w:r>
      <w:proofErr w:type="spellStart"/>
      <w:r>
        <w:rPr>
          <w:rFonts w:ascii="Times New Roman" w:hAnsi="Times New Roman"/>
          <w:sz w:val="24"/>
          <w:szCs w:val="24"/>
          <w:lang w:val="de-DE"/>
        </w:rPr>
        <w:t>Callus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Lewisburg</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Bucknell</w:t>
      </w:r>
      <w:proofErr w:type="spellEnd"/>
      <w:r>
        <w:rPr>
          <w:rFonts w:ascii="Times New Roman" w:hAnsi="Times New Roman"/>
          <w:sz w:val="24"/>
          <w:szCs w:val="24"/>
          <w:lang w:val="de-DE"/>
        </w:rPr>
        <w:t xml:space="preserve"> UP, 2009. 59-70. </w:t>
      </w:r>
    </w:p>
    <w:p w14:paraId="32D61F8E" w14:textId="77777777" w:rsidR="00504ECB" w:rsidRDefault="00504ECB" w:rsidP="00504ECB">
      <w:pPr>
        <w:pStyle w:val="Footnote"/>
        <w:ind w:left="360" w:hanging="360"/>
        <w:rPr>
          <w:rFonts w:ascii="Times New Roman" w:hAnsi="Times New Roman"/>
          <w:sz w:val="24"/>
          <w:szCs w:val="24"/>
          <w:lang w:val="de-DE"/>
        </w:rPr>
      </w:pPr>
      <w:proofErr w:type="spellStart"/>
      <w:r>
        <w:rPr>
          <w:rFonts w:ascii="Times New Roman" w:hAnsi="Times New Roman"/>
          <w:sz w:val="24"/>
          <w:szCs w:val="24"/>
          <w:lang w:val="de-DE"/>
        </w:rPr>
        <w:t>Balderston</w:t>
      </w:r>
      <w:proofErr w:type="spellEnd"/>
      <w:r>
        <w:rPr>
          <w:rFonts w:ascii="Times New Roman" w:hAnsi="Times New Roman"/>
          <w:sz w:val="24"/>
          <w:szCs w:val="24"/>
          <w:lang w:val="de-DE"/>
        </w:rPr>
        <w:t xml:space="preserve">, Daniel. </w:t>
      </w:r>
      <w:r>
        <w:rPr>
          <w:rFonts w:ascii="Times New Roman" w:hAnsi="Times New Roman" w:cs="Times New Roman"/>
        </w:rPr>
        <w:t>“</w:t>
      </w:r>
      <w:r>
        <w:rPr>
          <w:rFonts w:ascii="Times New Roman" w:hAnsi="Times New Roman"/>
          <w:sz w:val="24"/>
          <w:szCs w:val="24"/>
          <w:lang w:val="de-DE"/>
        </w:rPr>
        <w:t xml:space="preserve">‘His </w:t>
      </w:r>
      <w:proofErr w:type="spellStart"/>
      <w:r>
        <w:rPr>
          <w:rFonts w:ascii="Times New Roman" w:hAnsi="Times New Roman"/>
          <w:sz w:val="24"/>
          <w:szCs w:val="24"/>
          <w:lang w:val="de-DE"/>
        </w:rPr>
        <w:t>Insect</w:t>
      </w:r>
      <w:proofErr w:type="spellEnd"/>
      <w:r>
        <w:rPr>
          <w:rFonts w:ascii="Times New Roman" w:hAnsi="Times New Roman"/>
          <w:sz w:val="24"/>
          <w:szCs w:val="24"/>
          <w:lang w:val="de-DE"/>
        </w:rPr>
        <w:t>-Like Handwriting</w:t>
      </w:r>
      <w:r>
        <w:rPr>
          <w:rFonts w:ascii="Times New Roman" w:hAnsi="Times New Roman" w:cs="Times New Roman"/>
        </w:rPr>
        <w:t>’</w:t>
      </w:r>
      <w:r>
        <w:rPr>
          <w:rFonts w:ascii="Times New Roman" w:hAnsi="Times New Roman"/>
          <w:sz w:val="24"/>
          <w:szCs w:val="24"/>
          <w:lang w:val="de-DE"/>
        </w:rPr>
        <w:t xml:space="preserve">: </w:t>
      </w:r>
      <w:proofErr w:type="spellStart"/>
      <w:r>
        <w:rPr>
          <w:rFonts w:ascii="Times New Roman" w:hAnsi="Times New Roman"/>
          <w:sz w:val="24"/>
          <w:szCs w:val="24"/>
          <w:lang w:val="de-DE"/>
        </w:rPr>
        <w:t>Marginalia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and</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Commentaries</w:t>
      </w:r>
      <w:proofErr w:type="spellEnd"/>
      <w:r>
        <w:rPr>
          <w:rFonts w:ascii="Times New Roman" w:hAnsi="Times New Roman"/>
          <w:sz w:val="24"/>
          <w:szCs w:val="24"/>
          <w:lang w:val="de-DE"/>
        </w:rPr>
        <w:t xml:space="preserve"> on Borges </w:t>
      </w:r>
      <w:proofErr w:type="spellStart"/>
      <w:r>
        <w:rPr>
          <w:rFonts w:ascii="Times New Roman" w:hAnsi="Times New Roman"/>
          <w:sz w:val="24"/>
          <w:szCs w:val="24"/>
          <w:lang w:val="de-DE"/>
        </w:rPr>
        <w:t>and</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Menard</w:t>
      </w:r>
      <w:proofErr w:type="spellEnd"/>
      <w:r>
        <w:rPr>
          <w:rFonts w:ascii="Times New Roman" w:hAnsi="Times New Roman"/>
          <w:sz w:val="24"/>
          <w:szCs w:val="24"/>
          <w:lang w:val="de-DE"/>
        </w:rPr>
        <w:t>.</w:t>
      </w:r>
      <w:r>
        <w:rPr>
          <w:rFonts w:ascii="Times New Roman" w:hAnsi="Times New Roman" w:cs="Times New Roman"/>
        </w:rPr>
        <w:t xml:space="preserve">” </w:t>
      </w:r>
      <w:proofErr w:type="spellStart"/>
      <w:r>
        <w:rPr>
          <w:rFonts w:ascii="Times New Roman" w:hAnsi="Times New Roman" w:cs="Times New Roman"/>
          <w:i/>
        </w:rPr>
        <w:t>Variaciones</w:t>
      </w:r>
      <w:proofErr w:type="spellEnd"/>
      <w:r>
        <w:rPr>
          <w:rFonts w:ascii="Times New Roman" w:hAnsi="Times New Roman" w:cs="Times New Roman"/>
          <w:i/>
        </w:rPr>
        <w:t xml:space="preserve"> Borges</w:t>
      </w:r>
      <w:r>
        <w:rPr>
          <w:rFonts w:ascii="Times New Roman" w:hAnsi="Times New Roman" w:cs="Times New Roman"/>
        </w:rPr>
        <w:t>, vol. 31, 2011, pp. 125-136.</w:t>
      </w:r>
    </w:p>
    <w:p w14:paraId="5B856240" w14:textId="7306033D" w:rsidR="0055114C" w:rsidRDefault="00504ECB" w:rsidP="0067370C">
      <w:pPr>
        <w:pStyle w:val="Footnote"/>
        <w:ind w:left="360" w:hanging="360"/>
        <w:rPr>
          <w:rFonts w:ascii="Times New Roman" w:hAnsi="Times New Roman"/>
          <w:sz w:val="24"/>
          <w:szCs w:val="24"/>
          <w:lang w:val="de-DE"/>
        </w:rPr>
      </w:pPr>
      <w:r>
        <w:rPr>
          <w:rFonts w:ascii="Times New Roman" w:hAnsi="Times New Roman"/>
          <w:sz w:val="24"/>
          <w:szCs w:val="24"/>
          <w:lang w:val="de-DE"/>
        </w:rPr>
        <w:t>---</w:t>
      </w:r>
      <w:r w:rsidR="0055114C">
        <w:rPr>
          <w:rFonts w:ascii="Times New Roman" w:hAnsi="Times New Roman"/>
          <w:sz w:val="24"/>
          <w:szCs w:val="24"/>
          <w:lang w:val="de-DE"/>
        </w:rPr>
        <w:t xml:space="preserve">. </w:t>
      </w:r>
      <w:r w:rsidR="0055114C">
        <w:rPr>
          <w:rFonts w:ascii="Times New Roman" w:hAnsi="Times New Roman"/>
          <w:i/>
          <w:sz w:val="24"/>
          <w:szCs w:val="24"/>
          <w:lang w:val="de-DE"/>
        </w:rPr>
        <w:t xml:space="preserve">Out </w:t>
      </w:r>
      <w:proofErr w:type="spellStart"/>
      <w:r w:rsidR="0055114C">
        <w:rPr>
          <w:rFonts w:ascii="Times New Roman" w:hAnsi="Times New Roman"/>
          <w:i/>
          <w:sz w:val="24"/>
          <w:szCs w:val="24"/>
          <w:lang w:val="de-DE"/>
        </w:rPr>
        <w:t>of</w:t>
      </w:r>
      <w:proofErr w:type="spellEnd"/>
      <w:r w:rsidR="0055114C">
        <w:rPr>
          <w:rFonts w:ascii="Times New Roman" w:hAnsi="Times New Roman"/>
          <w:i/>
          <w:sz w:val="24"/>
          <w:szCs w:val="24"/>
          <w:lang w:val="de-DE"/>
        </w:rPr>
        <w:t xml:space="preserve"> </w:t>
      </w:r>
      <w:proofErr w:type="spellStart"/>
      <w:r w:rsidR="0055114C">
        <w:rPr>
          <w:rFonts w:ascii="Times New Roman" w:hAnsi="Times New Roman"/>
          <w:i/>
          <w:sz w:val="24"/>
          <w:szCs w:val="24"/>
          <w:lang w:val="de-DE"/>
        </w:rPr>
        <w:t>Context</w:t>
      </w:r>
      <w:proofErr w:type="spellEnd"/>
      <w:r w:rsidR="0055114C">
        <w:rPr>
          <w:rFonts w:ascii="Times New Roman" w:hAnsi="Times New Roman"/>
          <w:i/>
          <w:sz w:val="24"/>
          <w:szCs w:val="24"/>
          <w:lang w:val="de-DE"/>
        </w:rPr>
        <w:t xml:space="preserve">: Historical Reference </w:t>
      </w:r>
      <w:proofErr w:type="spellStart"/>
      <w:r w:rsidR="0055114C">
        <w:rPr>
          <w:rFonts w:ascii="Times New Roman" w:hAnsi="Times New Roman"/>
          <w:i/>
          <w:sz w:val="24"/>
          <w:szCs w:val="24"/>
          <w:lang w:val="de-DE"/>
        </w:rPr>
        <w:t>and</w:t>
      </w:r>
      <w:proofErr w:type="spellEnd"/>
      <w:r w:rsidR="0055114C">
        <w:rPr>
          <w:rFonts w:ascii="Times New Roman" w:hAnsi="Times New Roman"/>
          <w:i/>
          <w:sz w:val="24"/>
          <w:szCs w:val="24"/>
          <w:lang w:val="de-DE"/>
        </w:rPr>
        <w:t xml:space="preserve"> </w:t>
      </w:r>
      <w:proofErr w:type="spellStart"/>
      <w:r w:rsidR="0055114C">
        <w:rPr>
          <w:rFonts w:ascii="Times New Roman" w:hAnsi="Times New Roman"/>
          <w:i/>
          <w:sz w:val="24"/>
          <w:szCs w:val="24"/>
          <w:lang w:val="de-DE"/>
        </w:rPr>
        <w:t>the</w:t>
      </w:r>
      <w:proofErr w:type="spellEnd"/>
      <w:r w:rsidR="0055114C">
        <w:rPr>
          <w:rFonts w:ascii="Times New Roman" w:hAnsi="Times New Roman"/>
          <w:i/>
          <w:sz w:val="24"/>
          <w:szCs w:val="24"/>
          <w:lang w:val="de-DE"/>
        </w:rPr>
        <w:t xml:space="preserve"> </w:t>
      </w:r>
      <w:proofErr w:type="spellStart"/>
      <w:r w:rsidR="0055114C">
        <w:rPr>
          <w:rFonts w:ascii="Times New Roman" w:hAnsi="Times New Roman"/>
          <w:i/>
          <w:sz w:val="24"/>
          <w:szCs w:val="24"/>
          <w:lang w:val="de-DE"/>
        </w:rPr>
        <w:t>Representation</w:t>
      </w:r>
      <w:proofErr w:type="spellEnd"/>
      <w:r w:rsidR="0055114C">
        <w:rPr>
          <w:rFonts w:ascii="Times New Roman" w:hAnsi="Times New Roman"/>
          <w:i/>
          <w:sz w:val="24"/>
          <w:szCs w:val="24"/>
          <w:lang w:val="de-DE"/>
        </w:rPr>
        <w:t xml:space="preserve"> </w:t>
      </w:r>
      <w:proofErr w:type="spellStart"/>
      <w:r w:rsidR="0055114C">
        <w:rPr>
          <w:rFonts w:ascii="Times New Roman" w:hAnsi="Times New Roman"/>
          <w:i/>
          <w:sz w:val="24"/>
          <w:szCs w:val="24"/>
          <w:lang w:val="de-DE"/>
        </w:rPr>
        <w:t>of</w:t>
      </w:r>
      <w:proofErr w:type="spellEnd"/>
      <w:r w:rsidR="0055114C">
        <w:rPr>
          <w:rFonts w:ascii="Times New Roman" w:hAnsi="Times New Roman"/>
          <w:i/>
          <w:sz w:val="24"/>
          <w:szCs w:val="24"/>
          <w:lang w:val="de-DE"/>
        </w:rPr>
        <w:t xml:space="preserve"> Reality in Borges</w:t>
      </w:r>
      <w:r w:rsidR="0055114C">
        <w:rPr>
          <w:rFonts w:ascii="Times New Roman" w:hAnsi="Times New Roman"/>
          <w:sz w:val="24"/>
          <w:szCs w:val="24"/>
          <w:lang w:val="de-DE"/>
        </w:rPr>
        <w:t>. Durham: Duke University Press, 1993.</w:t>
      </w:r>
    </w:p>
    <w:p w14:paraId="48B721BD" w14:textId="22D8278D" w:rsidR="006E6BD9" w:rsidRPr="006E6BD9" w:rsidRDefault="006E6BD9" w:rsidP="006E6BD9">
      <w:pPr>
        <w:pStyle w:val="Footnote"/>
        <w:ind w:left="360" w:hanging="360"/>
        <w:rPr>
          <w:rFonts w:ascii="Times New Roman" w:eastAsia="Times New Roman" w:hAnsi="Times New Roman" w:cs="Times New Roman"/>
          <w:sz w:val="24"/>
          <w:szCs w:val="24"/>
        </w:rPr>
      </w:pPr>
      <w:proofErr w:type="spellStart"/>
      <w:r>
        <w:rPr>
          <w:rFonts w:ascii="Times New Roman" w:hAnsi="Times New Roman"/>
          <w:sz w:val="24"/>
          <w:szCs w:val="24"/>
        </w:rPr>
        <w:t>Barrenechea</w:t>
      </w:r>
      <w:proofErr w:type="spellEnd"/>
      <w:r>
        <w:rPr>
          <w:rFonts w:ascii="Times New Roman" w:hAnsi="Times New Roman"/>
          <w:sz w:val="24"/>
          <w:szCs w:val="24"/>
        </w:rPr>
        <w:t xml:space="preserve">, Ana </w:t>
      </w:r>
      <w:proofErr w:type="spellStart"/>
      <w:r>
        <w:rPr>
          <w:rFonts w:ascii="Times New Roman" w:hAnsi="Times New Roman"/>
          <w:sz w:val="24"/>
          <w:szCs w:val="24"/>
        </w:rPr>
        <w:t>Marí</w:t>
      </w:r>
      <w:proofErr w:type="spellEnd"/>
      <w:r>
        <w:rPr>
          <w:rFonts w:ascii="Times New Roman" w:hAnsi="Times New Roman"/>
          <w:sz w:val="24"/>
          <w:szCs w:val="24"/>
          <w:lang w:val="it-IT"/>
        </w:rPr>
        <w:t xml:space="preserve">a. </w:t>
      </w:r>
      <w:r>
        <w:rPr>
          <w:rFonts w:ascii="Times New Roman" w:hAnsi="Times New Roman"/>
          <w:i/>
          <w:iCs/>
          <w:sz w:val="24"/>
          <w:szCs w:val="24"/>
        </w:rPr>
        <w:t>Borges:</w:t>
      </w:r>
      <w:r w:rsidR="001A7B33">
        <w:rPr>
          <w:rFonts w:ascii="Times New Roman" w:hAnsi="Times New Roman"/>
          <w:i/>
          <w:iCs/>
          <w:sz w:val="24"/>
          <w:szCs w:val="24"/>
        </w:rPr>
        <w:t xml:space="preserve"> T</w:t>
      </w:r>
      <w:r>
        <w:rPr>
          <w:rFonts w:ascii="Times New Roman" w:hAnsi="Times New Roman"/>
          <w:i/>
          <w:iCs/>
          <w:sz w:val="24"/>
          <w:szCs w:val="24"/>
        </w:rPr>
        <w:t>he Labyrinth Maker</w:t>
      </w:r>
      <w:r>
        <w:rPr>
          <w:rFonts w:ascii="Times New Roman" w:hAnsi="Times New Roman"/>
          <w:sz w:val="24"/>
          <w:szCs w:val="24"/>
        </w:rPr>
        <w:t xml:space="preserve">. </w:t>
      </w:r>
      <w:r w:rsidR="00382D96">
        <w:rPr>
          <w:rFonts w:ascii="Times New Roman" w:hAnsi="Times New Roman"/>
          <w:sz w:val="24"/>
          <w:szCs w:val="24"/>
        </w:rPr>
        <w:t xml:space="preserve">Ed. And Trans. Robert Lima. </w:t>
      </w:r>
      <w:r>
        <w:rPr>
          <w:rFonts w:ascii="Times New Roman" w:hAnsi="Times New Roman"/>
          <w:sz w:val="24"/>
          <w:szCs w:val="24"/>
        </w:rPr>
        <w:t xml:space="preserve">New York: New York UP, 1965. </w:t>
      </w:r>
    </w:p>
    <w:p w14:paraId="27171F06" w14:textId="77777777" w:rsidR="00732B27" w:rsidRDefault="00732B27" w:rsidP="0067370C">
      <w:pPr>
        <w:pStyle w:val="Footnote"/>
        <w:ind w:left="360" w:hanging="360"/>
        <w:rPr>
          <w:rFonts w:ascii="Times New Roman" w:hAnsi="Times New Roman" w:cs="Times New Roman"/>
        </w:rPr>
      </w:pPr>
      <w:r>
        <w:rPr>
          <w:rFonts w:ascii="Times New Roman" w:hAnsi="Times New Roman"/>
          <w:sz w:val="24"/>
          <w:szCs w:val="24"/>
          <w:lang w:val="de-DE"/>
        </w:rPr>
        <w:t xml:space="preserve">Barth, John. “The </w:t>
      </w:r>
      <w:proofErr w:type="spellStart"/>
      <w:r>
        <w:rPr>
          <w:rFonts w:ascii="Times New Roman" w:hAnsi="Times New Roman"/>
          <w:sz w:val="24"/>
          <w:szCs w:val="24"/>
          <w:lang w:val="de-DE"/>
        </w:rPr>
        <w:t>Literature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of</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Exhuastion</w:t>
      </w:r>
      <w:proofErr w:type="spellEnd"/>
      <w:r>
        <w:rPr>
          <w:rFonts w:ascii="Times New Roman" w:hAnsi="Times New Roman"/>
          <w:sz w:val="24"/>
          <w:szCs w:val="24"/>
          <w:lang w:val="de-DE"/>
        </w:rPr>
        <w:t>.</w:t>
      </w:r>
      <w:r w:rsidR="003D449F">
        <w:rPr>
          <w:rFonts w:ascii="Times New Roman" w:hAnsi="Times New Roman" w:cs="Times New Roman"/>
        </w:rPr>
        <w:t xml:space="preserve">” </w:t>
      </w:r>
      <w:r w:rsidR="003D449F">
        <w:rPr>
          <w:rFonts w:ascii="Times New Roman" w:hAnsi="Times New Roman" w:cs="Times New Roman"/>
          <w:i/>
        </w:rPr>
        <w:t>Critical Essays on Jorge Luis Borges</w:t>
      </w:r>
      <w:r w:rsidR="003D449F">
        <w:rPr>
          <w:rFonts w:ascii="Times New Roman" w:hAnsi="Times New Roman" w:cs="Times New Roman"/>
        </w:rPr>
        <w:t xml:space="preserve">. Ed. Jaime </w:t>
      </w:r>
      <w:proofErr w:type="spellStart"/>
      <w:r w:rsidR="003D449F">
        <w:rPr>
          <w:rFonts w:ascii="Times New Roman" w:hAnsi="Times New Roman" w:cs="Times New Roman"/>
        </w:rPr>
        <w:t>Alazraki</w:t>
      </w:r>
      <w:proofErr w:type="spellEnd"/>
      <w:r w:rsidR="003D449F">
        <w:rPr>
          <w:rFonts w:ascii="Times New Roman" w:hAnsi="Times New Roman" w:cs="Times New Roman"/>
        </w:rPr>
        <w:t>. Boston: G. K. Hall &amp; Co., 1987.</w:t>
      </w:r>
      <w:r w:rsidR="00580B3B">
        <w:rPr>
          <w:rFonts w:ascii="Times New Roman" w:hAnsi="Times New Roman" w:cs="Times New Roman"/>
        </w:rPr>
        <w:t xml:space="preserve"> 83-92.</w:t>
      </w:r>
    </w:p>
    <w:p w14:paraId="3D0DE0A1" w14:textId="77777777" w:rsidR="00504ECB" w:rsidRPr="00504ECB" w:rsidRDefault="00504ECB" w:rsidP="00504ECB">
      <w:pPr>
        <w:pStyle w:val="Footnote"/>
        <w:ind w:left="720" w:hanging="720"/>
        <w:rPr>
          <w:rFonts w:ascii="Times New Roman" w:hAnsi="Times New Roman" w:cs="Times New Roman"/>
        </w:rPr>
      </w:pPr>
      <w:r>
        <w:rPr>
          <w:rFonts w:ascii="Times New Roman" w:hAnsi="Times New Roman" w:cs="Times New Roman"/>
        </w:rPr>
        <w:t xml:space="preserve">Basile, Jonathan. </w:t>
      </w:r>
      <w:r>
        <w:rPr>
          <w:rFonts w:ascii="Times New Roman" w:hAnsi="Times New Roman" w:cs="Times New Roman"/>
          <w:i/>
        </w:rPr>
        <w:t>Tar for Mortar: “The Library of Babel” and the Dream of Totality</w:t>
      </w:r>
      <w:r>
        <w:rPr>
          <w:rFonts w:ascii="Times New Roman" w:hAnsi="Times New Roman" w:cs="Times New Roman"/>
        </w:rPr>
        <w:t>. Earth: punctum books, 2018.</w:t>
      </w:r>
    </w:p>
    <w:p w14:paraId="586F43D9" w14:textId="2FF577F3" w:rsidR="008B0C92" w:rsidRDefault="008B0C92" w:rsidP="0067370C">
      <w:pPr>
        <w:pStyle w:val="Footnote"/>
        <w:ind w:left="360" w:hanging="360"/>
        <w:rPr>
          <w:rFonts w:ascii="Times New Roman" w:hAnsi="Times New Roman" w:cs="Times New Roman"/>
        </w:rPr>
      </w:pPr>
      <w:proofErr w:type="spellStart"/>
      <w:r>
        <w:rPr>
          <w:rFonts w:ascii="Times New Roman" w:hAnsi="Times New Roman" w:cs="Times New Roman"/>
        </w:rPr>
        <w:t>Bioy</w:t>
      </w:r>
      <w:proofErr w:type="spellEnd"/>
      <w:r>
        <w:rPr>
          <w:rFonts w:ascii="Times New Roman" w:hAnsi="Times New Roman" w:cs="Times New Roman"/>
        </w:rPr>
        <w:t xml:space="preserve"> </w:t>
      </w:r>
      <w:proofErr w:type="spellStart"/>
      <w:r>
        <w:rPr>
          <w:rFonts w:ascii="Times New Roman" w:hAnsi="Times New Roman" w:cs="Times New Roman"/>
        </w:rPr>
        <w:t>Casares</w:t>
      </w:r>
      <w:proofErr w:type="spellEnd"/>
      <w:r>
        <w:rPr>
          <w:rFonts w:ascii="Times New Roman" w:hAnsi="Times New Roman" w:cs="Times New Roman"/>
        </w:rPr>
        <w:t xml:space="preserve">, Adolfo. </w:t>
      </w:r>
      <w:r>
        <w:rPr>
          <w:rFonts w:ascii="Times New Roman" w:hAnsi="Times New Roman" w:cs="Times New Roman"/>
          <w:i/>
        </w:rPr>
        <w:t>Borges</w:t>
      </w:r>
      <w:r w:rsidR="00545C56">
        <w:rPr>
          <w:rFonts w:ascii="Times New Roman" w:hAnsi="Times New Roman" w:cs="Times New Roman"/>
        </w:rPr>
        <w:t xml:space="preserve">. Ed. Daniel Martino. Buenos Aires: </w:t>
      </w:r>
      <w:proofErr w:type="spellStart"/>
      <w:r w:rsidR="00545C56">
        <w:rPr>
          <w:rFonts w:ascii="Times New Roman" w:hAnsi="Times New Roman" w:cs="Times New Roman"/>
        </w:rPr>
        <w:t>Destino</w:t>
      </w:r>
      <w:proofErr w:type="spellEnd"/>
      <w:r w:rsidR="00545C56">
        <w:rPr>
          <w:rFonts w:ascii="Times New Roman" w:hAnsi="Times New Roman" w:cs="Times New Roman"/>
        </w:rPr>
        <w:t xml:space="preserve">, 2006. </w:t>
      </w:r>
    </w:p>
    <w:p w14:paraId="3F8AC0FC" w14:textId="180AB98F" w:rsidR="006670CB" w:rsidRPr="008B0C92" w:rsidRDefault="006670CB" w:rsidP="00E212B2">
      <w:pPr>
        <w:pStyle w:val="Footnote"/>
        <w:ind w:left="360" w:hanging="360"/>
        <w:rPr>
          <w:rFonts w:ascii="Times New Roman" w:hAnsi="Times New Roman"/>
          <w:sz w:val="24"/>
          <w:szCs w:val="24"/>
          <w:lang w:val="de-DE"/>
        </w:rPr>
      </w:pPr>
      <w:r>
        <w:rPr>
          <w:rFonts w:ascii="Times New Roman" w:hAnsi="Times New Roman" w:cs="Times New Roman"/>
        </w:rPr>
        <w:t>Borg</w:t>
      </w:r>
      <w:r w:rsidR="00545C56">
        <w:rPr>
          <w:rFonts w:ascii="Times New Roman" w:hAnsi="Times New Roman" w:cs="Times New Roman"/>
        </w:rPr>
        <w:t>es, Jorge Luis. “Coleridge’s Flo</w:t>
      </w:r>
      <w:r>
        <w:rPr>
          <w:rFonts w:ascii="Times New Roman" w:hAnsi="Times New Roman" w:cs="Times New Roman"/>
        </w:rPr>
        <w:t xml:space="preserve">wer,” </w:t>
      </w:r>
      <w:r>
        <w:rPr>
          <w:rFonts w:ascii="Times New Roman" w:hAnsi="Times New Roman"/>
          <w:i/>
          <w:iCs/>
          <w:sz w:val="24"/>
          <w:szCs w:val="24"/>
        </w:rPr>
        <w:t>The Total Library: Non-fiction 1922-1986</w:t>
      </w:r>
      <w:r>
        <w:rPr>
          <w:rFonts w:ascii="Times New Roman" w:hAnsi="Times New Roman"/>
          <w:sz w:val="24"/>
          <w:szCs w:val="24"/>
          <w:lang w:val="de-DE"/>
        </w:rPr>
        <w:t xml:space="preserve">. Ed. Eliot Weinberger. Trans. Suzanne Jill Levine. London: </w:t>
      </w:r>
      <w:proofErr w:type="spellStart"/>
      <w:r>
        <w:rPr>
          <w:rFonts w:ascii="Times New Roman" w:hAnsi="Times New Roman"/>
          <w:sz w:val="24"/>
          <w:szCs w:val="24"/>
          <w:lang w:val="de-DE"/>
        </w:rPr>
        <w:t>Penguin</w:t>
      </w:r>
      <w:proofErr w:type="spellEnd"/>
      <w:r>
        <w:rPr>
          <w:rFonts w:ascii="Times New Roman" w:hAnsi="Times New Roman"/>
          <w:sz w:val="24"/>
          <w:szCs w:val="24"/>
          <w:lang w:val="de-DE"/>
        </w:rPr>
        <w:t xml:space="preserve">, 1999. 240-242. </w:t>
      </w:r>
    </w:p>
    <w:p w14:paraId="491A65A1" w14:textId="77777777" w:rsidR="00A63927" w:rsidRDefault="00A63927" w:rsidP="00A63927">
      <w:pPr>
        <w:pStyle w:val="Footnote"/>
        <w:ind w:left="360" w:hanging="360"/>
        <w:rPr>
          <w:rFonts w:ascii="Times New Roman" w:hAnsi="Times New Roman"/>
          <w:sz w:val="24"/>
          <w:szCs w:val="24"/>
          <w:lang w:val="de-DE"/>
        </w:rPr>
      </w:pPr>
      <w:r>
        <w:rPr>
          <w:rFonts w:ascii="Times New Roman" w:hAnsi="Times New Roman"/>
          <w:sz w:val="24"/>
          <w:szCs w:val="24"/>
          <w:lang w:val="pt-PT"/>
        </w:rPr>
        <w:t xml:space="preserve">---. </w:t>
      </w:r>
      <w:r>
        <w:rPr>
          <w:rFonts w:ascii="Times New Roman" w:hAnsi="Times New Roman"/>
          <w:sz w:val="24"/>
          <w:szCs w:val="24"/>
        </w:rPr>
        <w:t xml:space="preserve">“On the Cult of Books.” </w:t>
      </w:r>
      <w:r>
        <w:rPr>
          <w:rFonts w:ascii="Times New Roman" w:hAnsi="Times New Roman"/>
          <w:i/>
          <w:iCs/>
          <w:sz w:val="24"/>
          <w:szCs w:val="24"/>
        </w:rPr>
        <w:t>The Total Library: Non-fiction 1922-1986</w:t>
      </w:r>
      <w:r>
        <w:rPr>
          <w:rFonts w:ascii="Times New Roman" w:hAnsi="Times New Roman"/>
          <w:sz w:val="24"/>
          <w:szCs w:val="24"/>
          <w:lang w:val="de-DE"/>
        </w:rPr>
        <w:t xml:space="preserve">. Ed. Eliot Weinberger. Trans. Eliot Weinberg. London: </w:t>
      </w:r>
      <w:proofErr w:type="spellStart"/>
      <w:r>
        <w:rPr>
          <w:rFonts w:ascii="Times New Roman" w:hAnsi="Times New Roman"/>
          <w:sz w:val="24"/>
          <w:szCs w:val="24"/>
          <w:lang w:val="de-DE"/>
        </w:rPr>
        <w:t>Penguin</w:t>
      </w:r>
      <w:proofErr w:type="spellEnd"/>
      <w:r>
        <w:rPr>
          <w:rFonts w:ascii="Times New Roman" w:hAnsi="Times New Roman"/>
          <w:sz w:val="24"/>
          <w:szCs w:val="24"/>
          <w:lang w:val="de-DE"/>
        </w:rPr>
        <w:t xml:space="preserve">, 1999. 358-62. </w:t>
      </w:r>
    </w:p>
    <w:p w14:paraId="14B9A26A" w14:textId="77777777" w:rsidR="00C14938" w:rsidRPr="00C14938" w:rsidRDefault="00C14938" w:rsidP="00A63927">
      <w:pPr>
        <w:pStyle w:val="Footnote"/>
        <w:ind w:left="360" w:hanging="360"/>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cs="Times New Roman"/>
        </w:rPr>
        <w:t xml:space="preserve">“For Bernard Shaw.” </w:t>
      </w:r>
      <w:r>
        <w:rPr>
          <w:rFonts w:ascii="Times New Roman" w:hAnsi="Times New Roman" w:cs="Times New Roman"/>
          <w:i/>
        </w:rPr>
        <w:t>Other Inquisitions</w:t>
      </w:r>
      <w:r>
        <w:rPr>
          <w:rFonts w:ascii="Times New Roman" w:hAnsi="Times New Roman" w:cs="Times New Roman"/>
        </w:rPr>
        <w:t>. Trans. Ruth L. C. Simms. Austin: University of Texas Press, 2000. 163-166.</w:t>
      </w:r>
    </w:p>
    <w:p w14:paraId="30987694" w14:textId="77777777" w:rsidR="00234AFB" w:rsidRPr="00234AFB" w:rsidRDefault="00234AFB" w:rsidP="00234AFB">
      <w:pPr>
        <w:pStyle w:val="Footnote"/>
        <w:ind w:left="360" w:hanging="360"/>
        <w:rPr>
          <w:rFonts w:ascii="Times New Roman" w:eastAsia="Times New Roman" w:hAnsi="Times New Roman" w:cs="Times New Roman"/>
          <w:sz w:val="24"/>
          <w:szCs w:val="24"/>
        </w:rPr>
      </w:pPr>
      <w:r>
        <w:rPr>
          <w:rFonts w:ascii="Times New Roman" w:hAnsi="Times New Roman"/>
          <w:sz w:val="24"/>
          <w:szCs w:val="24"/>
          <w:lang w:val="pt-PT"/>
        </w:rPr>
        <w:t xml:space="preserve">---. </w:t>
      </w:r>
      <w:r>
        <w:rPr>
          <w:rFonts w:ascii="Times New Roman" w:hAnsi="Times New Roman"/>
          <w:i/>
          <w:iCs/>
          <w:sz w:val="24"/>
          <w:szCs w:val="24"/>
        </w:rPr>
        <w:t>The Garden of Branching Paths</w:t>
      </w:r>
      <w:r>
        <w:rPr>
          <w:rFonts w:ascii="Times New Roman" w:hAnsi="Times New Roman"/>
          <w:sz w:val="24"/>
          <w:szCs w:val="24"/>
          <w:lang w:val="da-DK"/>
        </w:rPr>
        <w:t xml:space="preserve">. Trans. Norman Thomas </w:t>
      </w:r>
      <w:r>
        <w:rPr>
          <w:rFonts w:ascii="Times New Roman" w:hAnsi="Times New Roman"/>
          <w:sz w:val="24"/>
          <w:szCs w:val="24"/>
        </w:rPr>
        <w:t>di</w:t>
      </w:r>
      <w:r>
        <w:rPr>
          <w:rFonts w:ascii="Times New Roman" w:hAnsi="Times New Roman"/>
          <w:sz w:val="24"/>
          <w:szCs w:val="24"/>
          <w:lang w:val="it-IT"/>
        </w:rPr>
        <w:t xml:space="preserve"> Giovanni. </w:t>
      </w:r>
      <w:proofErr w:type="spellStart"/>
      <w:r>
        <w:rPr>
          <w:rFonts w:ascii="Times New Roman" w:hAnsi="Times New Roman"/>
          <w:sz w:val="24"/>
          <w:szCs w:val="24"/>
          <w:lang w:val="it-IT"/>
        </w:rPr>
        <w:t>N.p</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n.p</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n.d.</w:t>
      </w:r>
      <w:proofErr w:type="spellEnd"/>
      <w:r>
        <w:rPr>
          <w:rFonts w:ascii="Times New Roman" w:hAnsi="Times New Roman"/>
          <w:sz w:val="24"/>
          <w:szCs w:val="24"/>
          <w:lang w:val="it-IT"/>
        </w:rPr>
        <w:t xml:space="preserve"> </w:t>
      </w:r>
      <w:r>
        <w:rPr>
          <w:rFonts w:ascii="Times New Roman" w:hAnsi="Times New Roman"/>
          <w:i/>
          <w:iCs/>
          <w:sz w:val="24"/>
          <w:szCs w:val="24"/>
        </w:rPr>
        <w:t>libraryofbabel.info</w:t>
      </w:r>
      <w:r>
        <w:rPr>
          <w:rFonts w:ascii="Times New Roman" w:hAnsi="Times New Roman"/>
          <w:sz w:val="24"/>
          <w:szCs w:val="24"/>
        </w:rPr>
        <w:t>. Web. 2 Dec. 2015. &lt;https://libraryofbabel.info/Borges/thegardenofbranchingpaths.pdf&gt;.</w:t>
      </w:r>
    </w:p>
    <w:p w14:paraId="6409DCD6" w14:textId="77777777" w:rsidR="00E700BE" w:rsidRDefault="00E700BE" w:rsidP="00E700BE">
      <w:pPr>
        <w:pStyle w:val="Footnote"/>
        <w:ind w:left="360" w:hanging="360"/>
        <w:rPr>
          <w:rFonts w:ascii="Times New Roman" w:eastAsia="Times New Roman" w:hAnsi="Times New Roman" w:cs="Times New Roman"/>
          <w:sz w:val="24"/>
          <w:szCs w:val="24"/>
        </w:rPr>
      </w:pPr>
      <w:r>
        <w:rPr>
          <w:rFonts w:ascii="Times New Roman" w:hAnsi="Times New Roman"/>
          <w:sz w:val="24"/>
          <w:szCs w:val="24"/>
          <w:lang w:val="pt-PT"/>
        </w:rPr>
        <w:t xml:space="preserve">---. </w:t>
      </w:r>
      <w:r>
        <w:rPr>
          <w:rFonts w:ascii="Times New Roman" w:hAnsi="Times New Roman"/>
          <w:sz w:val="24"/>
          <w:szCs w:val="24"/>
        </w:rPr>
        <w:t xml:space="preserve">“The Library of Babel.” </w:t>
      </w:r>
      <w:r>
        <w:rPr>
          <w:rFonts w:ascii="Times New Roman" w:hAnsi="Times New Roman"/>
          <w:i/>
          <w:iCs/>
          <w:sz w:val="24"/>
          <w:szCs w:val="24"/>
          <w:lang w:val="es-ES_tradnl"/>
        </w:rPr>
        <w:t>Ficciones</w:t>
      </w:r>
      <w:r>
        <w:rPr>
          <w:rFonts w:ascii="Times New Roman" w:hAnsi="Times New Roman"/>
          <w:sz w:val="24"/>
          <w:szCs w:val="24"/>
          <w:lang w:val="it-IT"/>
        </w:rPr>
        <w:t xml:space="preserve">. Trans. Anthony </w:t>
      </w:r>
      <w:proofErr w:type="spellStart"/>
      <w:r>
        <w:rPr>
          <w:rFonts w:ascii="Times New Roman" w:hAnsi="Times New Roman"/>
          <w:sz w:val="24"/>
          <w:szCs w:val="24"/>
          <w:lang w:val="it-IT"/>
        </w:rPr>
        <w:t>Kerrigan</w:t>
      </w:r>
      <w:proofErr w:type="spellEnd"/>
      <w:r>
        <w:rPr>
          <w:rFonts w:ascii="Times New Roman" w:hAnsi="Times New Roman"/>
          <w:sz w:val="24"/>
          <w:szCs w:val="24"/>
          <w:lang w:val="it-IT"/>
        </w:rPr>
        <w:t xml:space="preserve">. New York: </w:t>
      </w:r>
      <w:proofErr w:type="spellStart"/>
      <w:r>
        <w:rPr>
          <w:rFonts w:ascii="Times New Roman" w:hAnsi="Times New Roman"/>
          <w:sz w:val="24"/>
          <w:szCs w:val="24"/>
          <w:lang w:val="it-IT"/>
        </w:rPr>
        <w:t>Grove</w:t>
      </w:r>
      <w:proofErr w:type="spellEnd"/>
      <w:r>
        <w:rPr>
          <w:rFonts w:ascii="Times New Roman" w:hAnsi="Times New Roman"/>
          <w:sz w:val="24"/>
          <w:szCs w:val="24"/>
          <w:lang w:val="it-IT"/>
        </w:rPr>
        <w:t xml:space="preserve">, 1962. 79-88. </w:t>
      </w:r>
    </w:p>
    <w:p w14:paraId="6969EC1C" w14:textId="77777777" w:rsidR="00E700BE" w:rsidRPr="00E700BE" w:rsidRDefault="00E700BE" w:rsidP="00E700BE">
      <w:pPr>
        <w:pStyle w:val="Footnote"/>
        <w:ind w:left="360" w:hanging="360"/>
        <w:rPr>
          <w:rFonts w:ascii="Times New Roman" w:eastAsia="Times New Roman" w:hAnsi="Times New Roman" w:cs="Times New Roman"/>
          <w:sz w:val="24"/>
          <w:szCs w:val="24"/>
        </w:rPr>
      </w:pPr>
      <w:r>
        <w:rPr>
          <w:rFonts w:ascii="Times New Roman" w:hAnsi="Times New Roman"/>
          <w:sz w:val="24"/>
          <w:szCs w:val="24"/>
          <w:lang w:val="pt-PT"/>
        </w:rPr>
        <w:t xml:space="preserve">---. </w:t>
      </w:r>
      <w:r>
        <w:rPr>
          <w:rFonts w:ascii="Times New Roman" w:hAnsi="Times New Roman"/>
          <w:sz w:val="24"/>
          <w:szCs w:val="24"/>
        </w:rPr>
        <w:t xml:space="preserve">“The Library of Babel.” </w:t>
      </w:r>
      <w:r>
        <w:rPr>
          <w:rFonts w:ascii="Times New Roman" w:hAnsi="Times New Roman"/>
          <w:i/>
          <w:iCs/>
          <w:sz w:val="24"/>
          <w:szCs w:val="24"/>
        </w:rPr>
        <w:t>Collected Fictions</w:t>
      </w:r>
      <w:r>
        <w:rPr>
          <w:rFonts w:ascii="Times New Roman" w:hAnsi="Times New Roman"/>
          <w:sz w:val="24"/>
          <w:szCs w:val="24"/>
        </w:rPr>
        <w:t>. Trans. Andrew Hurley. New</w:t>
      </w:r>
      <w:r w:rsidR="005C0D30">
        <w:rPr>
          <w:rFonts w:ascii="Times New Roman" w:hAnsi="Times New Roman"/>
          <w:sz w:val="24"/>
          <w:szCs w:val="24"/>
        </w:rPr>
        <w:t xml:space="preserve"> York, NY, U.S.A.: Viking, 1998</w:t>
      </w:r>
      <w:r w:rsidR="008B0C92">
        <w:rPr>
          <w:rFonts w:ascii="Times New Roman" w:hAnsi="Times New Roman"/>
          <w:sz w:val="24"/>
          <w:szCs w:val="24"/>
        </w:rPr>
        <w:t>. 112-118.</w:t>
      </w:r>
      <w:r>
        <w:rPr>
          <w:rFonts w:ascii="Times New Roman" w:hAnsi="Times New Roman"/>
          <w:sz w:val="24"/>
          <w:szCs w:val="24"/>
        </w:rPr>
        <w:t xml:space="preserve"> </w:t>
      </w:r>
    </w:p>
    <w:p w14:paraId="1F93DD5E" w14:textId="77777777" w:rsidR="00A63927" w:rsidRDefault="00A63927" w:rsidP="00A63927">
      <w:pPr>
        <w:pStyle w:val="Footnote"/>
        <w:ind w:left="360" w:hanging="360"/>
        <w:rPr>
          <w:rFonts w:ascii="Times New Roman" w:hAnsi="Times New Roman"/>
          <w:sz w:val="24"/>
          <w:szCs w:val="24"/>
        </w:rPr>
      </w:pPr>
      <w:r>
        <w:rPr>
          <w:rFonts w:ascii="Times New Roman" w:hAnsi="Times New Roman"/>
          <w:sz w:val="24"/>
          <w:szCs w:val="24"/>
          <w:lang w:val="pt-PT"/>
        </w:rPr>
        <w:t xml:space="preserve">---. </w:t>
      </w:r>
      <w:r>
        <w:rPr>
          <w:rFonts w:ascii="Times New Roman" w:hAnsi="Times New Roman"/>
          <w:sz w:val="24"/>
          <w:szCs w:val="24"/>
        </w:rPr>
        <w:t xml:space="preserve">“The Library of Babel.” Trans. James East Irby. </w:t>
      </w:r>
      <w:r>
        <w:rPr>
          <w:rFonts w:ascii="Times New Roman" w:hAnsi="Times New Roman"/>
          <w:i/>
          <w:iCs/>
          <w:sz w:val="24"/>
          <w:szCs w:val="24"/>
        </w:rPr>
        <w:t>Labyrinths: Selected Stories &amp; Other Writings</w:t>
      </w:r>
      <w:r>
        <w:rPr>
          <w:rFonts w:ascii="Times New Roman" w:hAnsi="Times New Roman"/>
          <w:sz w:val="24"/>
          <w:szCs w:val="24"/>
        </w:rPr>
        <w:t xml:space="preserve">. New York: New Directions Pub., 1964. 51-58. </w:t>
      </w:r>
    </w:p>
    <w:p w14:paraId="06A027E8" w14:textId="77777777" w:rsidR="00890889" w:rsidRDefault="00890889" w:rsidP="00890889">
      <w:pPr>
        <w:pStyle w:val="Footnote"/>
        <w:ind w:left="360" w:hanging="360"/>
        <w:rPr>
          <w:rFonts w:ascii="Times New Roman" w:hAnsi="Times New Roman"/>
          <w:sz w:val="24"/>
          <w:szCs w:val="24"/>
        </w:rPr>
      </w:pPr>
      <w:r>
        <w:rPr>
          <w:rFonts w:ascii="Times New Roman" w:hAnsi="Times New Roman"/>
          <w:sz w:val="24"/>
          <w:szCs w:val="24"/>
          <w:lang w:val="pt-PT"/>
        </w:rPr>
        <w:t xml:space="preserve">---. </w:t>
      </w:r>
      <w:r>
        <w:rPr>
          <w:rFonts w:ascii="Times New Roman" w:hAnsi="Times New Roman"/>
          <w:i/>
          <w:iCs/>
          <w:sz w:val="24"/>
          <w:szCs w:val="24"/>
        </w:rPr>
        <w:t>Other Inquisitions: 1937-1952</w:t>
      </w:r>
      <w:r>
        <w:rPr>
          <w:rFonts w:ascii="Times New Roman" w:hAnsi="Times New Roman"/>
          <w:sz w:val="24"/>
          <w:szCs w:val="24"/>
        </w:rPr>
        <w:t xml:space="preserve">. Trans. Ruth L. C. Simms. New York: Simon and Schuster, 1965. </w:t>
      </w:r>
    </w:p>
    <w:p w14:paraId="4927B111" w14:textId="77777777" w:rsidR="008B0C92" w:rsidRDefault="008B0C92" w:rsidP="00306C79">
      <w:pPr>
        <w:pStyle w:val="Footnote"/>
        <w:ind w:left="360" w:hanging="360"/>
        <w:rPr>
          <w:rFonts w:ascii="Times New Roman" w:hAnsi="Times New Roman"/>
          <w:sz w:val="24"/>
          <w:szCs w:val="24"/>
        </w:rPr>
      </w:pPr>
      <w:r>
        <w:rPr>
          <w:rFonts w:ascii="Times New Roman" w:hAnsi="Times New Roman"/>
          <w:sz w:val="24"/>
          <w:szCs w:val="24"/>
        </w:rPr>
        <w:t xml:space="preserve">---. “Pierre Menard, Author of the </w:t>
      </w:r>
      <w:r w:rsidRPr="008B0C92">
        <w:rPr>
          <w:rFonts w:ascii="Times New Roman" w:hAnsi="Times New Roman"/>
          <w:i/>
          <w:sz w:val="24"/>
          <w:szCs w:val="24"/>
        </w:rPr>
        <w:t>Quixote</w:t>
      </w:r>
      <w:r>
        <w:rPr>
          <w:rFonts w:ascii="Times New Roman" w:hAnsi="Times New Roman"/>
          <w:sz w:val="24"/>
          <w:szCs w:val="24"/>
        </w:rPr>
        <w:t xml:space="preserve">.” </w:t>
      </w:r>
      <w:r>
        <w:rPr>
          <w:rFonts w:ascii="Times New Roman" w:hAnsi="Times New Roman"/>
          <w:i/>
          <w:iCs/>
          <w:sz w:val="24"/>
          <w:szCs w:val="24"/>
        </w:rPr>
        <w:t>Collected Fictions</w:t>
      </w:r>
      <w:r>
        <w:rPr>
          <w:rFonts w:ascii="Times New Roman" w:hAnsi="Times New Roman"/>
          <w:sz w:val="24"/>
          <w:szCs w:val="24"/>
        </w:rPr>
        <w:t>. Trans. Andrew Hurley. New</w:t>
      </w:r>
      <w:r w:rsidR="005C0D30">
        <w:rPr>
          <w:rFonts w:ascii="Times New Roman" w:hAnsi="Times New Roman"/>
          <w:sz w:val="24"/>
          <w:szCs w:val="24"/>
        </w:rPr>
        <w:t xml:space="preserve"> York, NY, U.S.A.: Viking, 1998</w:t>
      </w:r>
      <w:r>
        <w:rPr>
          <w:rFonts w:ascii="Times New Roman" w:hAnsi="Times New Roman"/>
          <w:sz w:val="24"/>
          <w:szCs w:val="24"/>
        </w:rPr>
        <w:t xml:space="preserve">. 88-95. </w:t>
      </w:r>
    </w:p>
    <w:p w14:paraId="12C0C573" w14:textId="77777777" w:rsidR="006D5C62" w:rsidRDefault="006D5C62" w:rsidP="006D5C62">
      <w:pPr>
        <w:pStyle w:val="Footnote"/>
        <w:ind w:left="360" w:hanging="360"/>
        <w:rPr>
          <w:rFonts w:ascii="Times New Roman" w:hAnsi="Times New Roman"/>
          <w:sz w:val="24"/>
          <w:szCs w:val="24"/>
          <w:lang w:val="it-IT"/>
        </w:rPr>
      </w:pPr>
      <w:r>
        <w:rPr>
          <w:rFonts w:ascii="Times New Roman" w:hAnsi="Times New Roman"/>
          <w:sz w:val="24"/>
          <w:szCs w:val="24"/>
          <w:lang w:val="pt-PT"/>
        </w:rPr>
        <w:t xml:space="preserve">---. </w:t>
      </w:r>
      <w:r>
        <w:rPr>
          <w:rFonts w:ascii="Times New Roman" w:hAnsi="Times New Roman"/>
          <w:sz w:val="24"/>
          <w:szCs w:val="24"/>
        </w:rPr>
        <w:t xml:space="preserve">“Pierre Menard, </w:t>
      </w:r>
      <w:proofErr w:type="spellStart"/>
      <w:r>
        <w:rPr>
          <w:rFonts w:ascii="Times New Roman" w:hAnsi="Times New Roman"/>
          <w:sz w:val="24"/>
          <w:szCs w:val="24"/>
        </w:rPr>
        <w:t>autor</w:t>
      </w:r>
      <w:proofErr w:type="spellEnd"/>
      <w:r>
        <w:rPr>
          <w:rFonts w:ascii="Times New Roman" w:hAnsi="Times New Roman"/>
          <w:sz w:val="24"/>
          <w:szCs w:val="24"/>
        </w:rPr>
        <w:t xml:space="preserve"> del </w:t>
      </w:r>
      <w:proofErr w:type="spellStart"/>
      <w:r>
        <w:rPr>
          <w:rFonts w:ascii="Times New Roman" w:hAnsi="Times New Roman"/>
          <w:sz w:val="24"/>
          <w:szCs w:val="24"/>
        </w:rPr>
        <w:t>Quijote</w:t>
      </w:r>
      <w:proofErr w:type="spellEnd"/>
      <w:r>
        <w:rPr>
          <w:rFonts w:ascii="Times New Roman" w:hAnsi="Times New Roman"/>
          <w:sz w:val="24"/>
          <w:szCs w:val="24"/>
        </w:rPr>
        <w:t xml:space="preserve">.” </w:t>
      </w:r>
      <w:r>
        <w:rPr>
          <w:rFonts w:ascii="Times New Roman" w:hAnsi="Times New Roman"/>
          <w:i/>
          <w:iCs/>
          <w:sz w:val="24"/>
          <w:szCs w:val="24"/>
          <w:lang w:val="es-ES_tradnl"/>
        </w:rPr>
        <w:t>Ficciones</w:t>
      </w:r>
      <w:r>
        <w:rPr>
          <w:rFonts w:ascii="Times New Roman" w:hAnsi="Times New Roman"/>
          <w:sz w:val="24"/>
          <w:szCs w:val="24"/>
          <w:lang w:val="it-IT"/>
        </w:rPr>
        <w:t xml:space="preserve">. Madrid: Alianza </w:t>
      </w:r>
      <w:proofErr w:type="spellStart"/>
      <w:r>
        <w:rPr>
          <w:rFonts w:ascii="Times New Roman" w:hAnsi="Times New Roman"/>
          <w:sz w:val="24"/>
          <w:szCs w:val="24"/>
          <w:lang w:val="it-IT"/>
        </w:rPr>
        <w:t>Editorial</w:t>
      </w:r>
      <w:proofErr w:type="spellEnd"/>
      <w:r>
        <w:rPr>
          <w:rFonts w:ascii="Times New Roman" w:hAnsi="Times New Roman"/>
          <w:sz w:val="24"/>
          <w:szCs w:val="24"/>
          <w:lang w:val="it-IT"/>
        </w:rPr>
        <w:t xml:space="preserve">, 1995. 41-55. </w:t>
      </w:r>
    </w:p>
    <w:p w14:paraId="08639251" w14:textId="77777777" w:rsidR="000C18BD" w:rsidRPr="000C18BD" w:rsidRDefault="000C18BD" w:rsidP="006D5C62">
      <w:pPr>
        <w:pStyle w:val="Footnote"/>
        <w:ind w:left="360" w:hanging="360"/>
        <w:rPr>
          <w:rFonts w:ascii="Times New Roman" w:eastAsia="Times New Roman" w:hAnsi="Times New Roman" w:cs="Times New Roman"/>
          <w:sz w:val="24"/>
          <w:szCs w:val="24"/>
        </w:rPr>
      </w:pPr>
      <w:r>
        <w:rPr>
          <w:rFonts w:ascii="Times New Roman" w:hAnsi="Times New Roman"/>
          <w:sz w:val="24"/>
          <w:szCs w:val="24"/>
          <w:lang w:val="it-IT"/>
        </w:rPr>
        <w:t xml:space="preserve">---. </w:t>
      </w:r>
      <w:proofErr w:type="spellStart"/>
      <w:r>
        <w:rPr>
          <w:rFonts w:ascii="Times New Roman" w:hAnsi="Times New Roman"/>
          <w:i/>
          <w:sz w:val="24"/>
          <w:szCs w:val="24"/>
          <w:lang w:val="it-IT"/>
        </w:rPr>
        <w:t>Textos</w:t>
      </w:r>
      <w:proofErr w:type="spellEnd"/>
      <w:r>
        <w:rPr>
          <w:rFonts w:ascii="Times New Roman" w:hAnsi="Times New Roman"/>
          <w:i/>
          <w:sz w:val="24"/>
          <w:szCs w:val="24"/>
          <w:lang w:val="it-IT"/>
        </w:rPr>
        <w:t xml:space="preserve"> </w:t>
      </w:r>
      <w:proofErr w:type="spellStart"/>
      <w:r>
        <w:rPr>
          <w:rFonts w:ascii="Times New Roman" w:hAnsi="Times New Roman"/>
          <w:i/>
          <w:sz w:val="24"/>
          <w:szCs w:val="24"/>
          <w:lang w:val="it-IT"/>
        </w:rPr>
        <w:t>Cautivos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Eds</w:t>
      </w:r>
      <w:proofErr w:type="spellEnd"/>
      <w:r>
        <w:rPr>
          <w:rFonts w:ascii="Times New Roman" w:hAnsi="Times New Roman"/>
          <w:sz w:val="24"/>
          <w:szCs w:val="24"/>
          <w:lang w:val="it-IT"/>
        </w:rPr>
        <w:t xml:space="preserve">. Enrique </w:t>
      </w:r>
      <w:proofErr w:type="spellStart"/>
      <w:r>
        <w:rPr>
          <w:rFonts w:ascii="Times New Roman" w:hAnsi="Times New Roman"/>
          <w:sz w:val="24"/>
          <w:szCs w:val="24"/>
          <w:lang w:val="it-IT"/>
        </w:rPr>
        <w:t>Sacerio-Garí</w:t>
      </w:r>
      <w:proofErr w:type="spellEnd"/>
      <w:r>
        <w:rPr>
          <w:rFonts w:ascii="Times New Roman" w:hAnsi="Times New Roman"/>
          <w:sz w:val="24"/>
          <w:szCs w:val="24"/>
          <w:lang w:val="it-IT"/>
        </w:rPr>
        <w:t xml:space="preserve"> y </w:t>
      </w:r>
      <w:proofErr w:type="spellStart"/>
      <w:r>
        <w:rPr>
          <w:rFonts w:ascii="Times New Roman" w:hAnsi="Times New Roman"/>
          <w:sz w:val="24"/>
          <w:szCs w:val="24"/>
          <w:lang w:val="it-IT"/>
        </w:rPr>
        <w:t>Emir</w:t>
      </w:r>
      <w:proofErr w:type="spellEnd"/>
      <w:r>
        <w:rPr>
          <w:rFonts w:ascii="Times New Roman" w:hAnsi="Times New Roman"/>
          <w:sz w:val="24"/>
          <w:szCs w:val="24"/>
          <w:lang w:val="it-IT"/>
        </w:rPr>
        <w:t xml:space="preserve"> Rodríguez </w:t>
      </w:r>
      <w:proofErr w:type="spellStart"/>
      <w:r>
        <w:rPr>
          <w:rFonts w:ascii="Times New Roman" w:hAnsi="Times New Roman"/>
          <w:sz w:val="24"/>
          <w:szCs w:val="24"/>
          <w:lang w:val="it-IT"/>
        </w:rPr>
        <w:t>Monegal</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Barcelona</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Tusquets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Editores</w:t>
      </w:r>
      <w:proofErr w:type="spellEnd"/>
      <w:r>
        <w:rPr>
          <w:rFonts w:ascii="Times New Roman" w:hAnsi="Times New Roman"/>
          <w:sz w:val="24"/>
          <w:szCs w:val="24"/>
          <w:lang w:val="it-IT"/>
        </w:rPr>
        <w:t>, 1986.</w:t>
      </w:r>
    </w:p>
    <w:p w14:paraId="6EF0D01D" w14:textId="77777777" w:rsidR="00A63927" w:rsidRDefault="00A63927" w:rsidP="00A63927">
      <w:pPr>
        <w:pStyle w:val="Footnote"/>
        <w:ind w:left="360" w:hanging="360"/>
        <w:rPr>
          <w:rFonts w:ascii="Times New Roman" w:eastAsia="Times New Roman" w:hAnsi="Times New Roman" w:cs="Times New Roman"/>
          <w:sz w:val="24"/>
          <w:szCs w:val="24"/>
        </w:rPr>
      </w:pPr>
      <w:r>
        <w:rPr>
          <w:rFonts w:ascii="Times New Roman" w:hAnsi="Times New Roman"/>
          <w:sz w:val="24"/>
          <w:szCs w:val="24"/>
          <w:lang w:val="pt-PT"/>
        </w:rPr>
        <w:t xml:space="preserve">---. </w:t>
      </w:r>
      <w:r>
        <w:rPr>
          <w:rFonts w:ascii="Times New Roman" w:hAnsi="Times New Roman"/>
          <w:sz w:val="24"/>
          <w:szCs w:val="24"/>
        </w:rPr>
        <w:t xml:space="preserve">“The Total Library.” </w:t>
      </w:r>
      <w:r>
        <w:rPr>
          <w:rFonts w:ascii="Times New Roman" w:hAnsi="Times New Roman"/>
          <w:i/>
          <w:iCs/>
          <w:sz w:val="24"/>
          <w:szCs w:val="24"/>
        </w:rPr>
        <w:t>The Total Library: Non-fiction 1922-1986</w:t>
      </w:r>
      <w:r>
        <w:rPr>
          <w:rFonts w:ascii="Times New Roman" w:hAnsi="Times New Roman"/>
          <w:sz w:val="24"/>
          <w:szCs w:val="24"/>
        </w:rPr>
        <w:t xml:space="preserve">. Ed. Eliot Weinberger. Trans. Eliot Weinberger. London: Penguin, 1999. 214-16. </w:t>
      </w:r>
    </w:p>
    <w:p w14:paraId="276CEC90" w14:textId="77777777" w:rsidR="00A63927" w:rsidRDefault="00143A7D" w:rsidP="0067370C">
      <w:pPr>
        <w:pStyle w:val="Footnote"/>
        <w:ind w:left="360" w:hanging="36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Castello,</w:t>
      </w:r>
      <w:r w:rsidR="00F02D0C">
        <w:rPr>
          <w:rStyle w:val="None"/>
          <w:rFonts w:ascii="Times New Roman" w:eastAsia="Times New Roman" w:hAnsi="Times New Roman" w:cs="Times New Roman"/>
          <w:sz w:val="24"/>
          <w:szCs w:val="24"/>
        </w:rPr>
        <w:t xml:space="preserve"> Jorge Luis.</w:t>
      </w:r>
      <w:r>
        <w:rPr>
          <w:rStyle w:val="None"/>
          <w:rFonts w:ascii="Times New Roman" w:eastAsia="Times New Roman" w:hAnsi="Times New Roman" w:cs="Times New Roman"/>
          <w:sz w:val="24"/>
          <w:szCs w:val="24"/>
        </w:rPr>
        <w:t xml:space="preserve"> “Pierre Menard and the School of the Skeptics</w:t>
      </w:r>
      <w:r w:rsidR="00F02D0C">
        <w:rPr>
          <w:rStyle w:val="None"/>
          <w:rFonts w:ascii="Times New Roman" w:eastAsia="Times New Roman" w:hAnsi="Times New Roman" w:cs="Times New Roman"/>
          <w:sz w:val="24"/>
          <w:szCs w:val="24"/>
        </w:rPr>
        <w:t>.”</w:t>
      </w:r>
      <w:r w:rsidR="006D5C62">
        <w:rPr>
          <w:rStyle w:val="None"/>
          <w:rFonts w:ascii="Times New Roman" w:eastAsia="Times New Roman" w:hAnsi="Times New Roman" w:cs="Times New Roman"/>
          <w:sz w:val="24"/>
          <w:szCs w:val="24"/>
        </w:rPr>
        <w:t xml:space="preserve"> </w:t>
      </w:r>
      <w:r w:rsidR="00F02D0C">
        <w:rPr>
          <w:rStyle w:val="None"/>
          <w:rFonts w:ascii="Times New Roman" w:eastAsia="Times New Roman" w:hAnsi="Times New Roman" w:cs="Times New Roman"/>
          <w:i/>
          <w:sz w:val="24"/>
          <w:szCs w:val="24"/>
        </w:rPr>
        <w:t xml:space="preserve">Hispanic Review </w:t>
      </w:r>
      <w:r w:rsidR="00F02D0C">
        <w:rPr>
          <w:rStyle w:val="None"/>
          <w:rFonts w:ascii="Times New Roman" w:eastAsia="Times New Roman" w:hAnsi="Times New Roman" w:cs="Times New Roman"/>
          <w:sz w:val="24"/>
          <w:szCs w:val="24"/>
        </w:rPr>
        <w:t>vol. 71, no. 3, 2003, pp. 415-428.</w:t>
      </w:r>
    </w:p>
    <w:p w14:paraId="18BC05E4" w14:textId="77777777" w:rsidR="008F7B13" w:rsidRPr="008F7B13" w:rsidRDefault="008F7B13" w:rsidP="0067370C">
      <w:pPr>
        <w:pStyle w:val="Footnote"/>
        <w:ind w:left="360" w:hanging="360"/>
        <w:rPr>
          <w:rStyle w:val="None"/>
          <w:rFonts w:ascii="Times New Roman" w:eastAsia="Times New Roman" w:hAnsi="Times New Roman" w:cs="Times New Roman"/>
          <w:sz w:val="24"/>
          <w:szCs w:val="24"/>
        </w:rPr>
      </w:pPr>
      <w:proofErr w:type="spellStart"/>
      <w:r>
        <w:rPr>
          <w:rStyle w:val="None"/>
          <w:rFonts w:ascii="Times New Roman" w:eastAsia="Times New Roman" w:hAnsi="Times New Roman" w:cs="Times New Roman"/>
          <w:sz w:val="24"/>
          <w:szCs w:val="24"/>
        </w:rPr>
        <w:t>Dapía</w:t>
      </w:r>
      <w:proofErr w:type="spellEnd"/>
      <w:r>
        <w:rPr>
          <w:rStyle w:val="None"/>
          <w:rFonts w:ascii="Times New Roman" w:eastAsia="Times New Roman" w:hAnsi="Times New Roman" w:cs="Times New Roman"/>
          <w:sz w:val="24"/>
          <w:szCs w:val="24"/>
        </w:rPr>
        <w:t xml:space="preserve">, Silvia G. “Pierre Menard in Context.” </w:t>
      </w:r>
      <w:proofErr w:type="spellStart"/>
      <w:r>
        <w:rPr>
          <w:rStyle w:val="None"/>
          <w:rFonts w:ascii="Times New Roman" w:eastAsia="Times New Roman" w:hAnsi="Times New Roman" w:cs="Times New Roman"/>
          <w:i/>
          <w:sz w:val="24"/>
          <w:szCs w:val="24"/>
        </w:rPr>
        <w:t>Variaciones</w:t>
      </w:r>
      <w:proofErr w:type="spellEnd"/>
      <w:r>
        <w:rPr>
          <w:rStyle w:val="None"/>
          <w:rFonts w:ascii="Times New Roman" w:eastAsia="Times New Roman" w:hAnsi="Times New Roman" w:cs="Times New Roman"/>
          <w:i/>
          <w:sz w:val="24"/>
          <w:szCs w:val="24"/>
        </w:rPr>
        <w:t xml:space="preserve"> Borges</w:t>
      </w:r>
      <w:r>
        <w:rPr>
          <w:rStyle w:val="None"/>
          <w:rFonts w:ascii="Times New Roman" w:eastAsia="Times New Roman" w:hAnsi="Times New Roman" w:cs="Times New Roman"/>
          <w:sz w:val="24"/>
          <w:szCs w:val="24"/>
        </w:rPr>
        <w:t>, vol. 2, 1996, pp. 100-113.</w:t>
      </w:r>
    </w:p>
    <w:p w14:paraId="003AAA70" w14:textId="77777777" w:rsidR="00580B3B" w:rsidRDefault="00580B3B" w:rsidP="00580B3B">
      <w:pPr>
        <w:pStyle w:val="Footnote"/>
        <w:ind w:left="360" w:hanging="360"/>
        <w:rPr>
          <w:rFonts w:ascii="Times New Roman" w:hAnsi="Times New Roman" w:cs="Times New Roman"/>
        </w:rPr>
      </w:pPr>
      <w:r>
        <w:rPr>
          <w:rStyle w:val="None"/>
          <w:rFonts w:ascii="Times New Roman" w:eastAsia="Times New Roman" w:hAnsi="Times New Roman" w:cs="Times New Roman"/>
          <w:sz w:val="24"/>
          <w:szCs w:val="24"/>
        </w:rPr>
        <w:t xml:space="preserve">De Man, Paul. “A Modern Master.” </w:t>
      </w:r>
      <w:r>
        <w:rPr>
          <w:rFonts w:ascii="Times New Roman" w:hAnsi="Times New Roman" w:cs="Times New Roman"/>
          <w:i/>
        </w:rPr>
        <w:t>Critical Essays on Jorge Luis Borges</w:t>
      </w:r>
      <w:r>
        <w:rPr>
          <w:rFonts w:ascii="Times New Roman" w:hAnsi="Times New Roman" w:cs="Times New Roman"/>
        </w:rPr>
        <w:t xml:space="preserve">. Ed. Jaime </w:t>
      </w:r>
      <w:proofErr w:type="spellStart"/>
      <w:r>
        <w:rPr>
          <w:rFonts w:ascii="Times New Roman" w:hAnsi="Times New Roman" w:cs="Times New Roman"/>
        </w:rPr>
        <w:t>Alazraki</w:t>
      </w:r>
      <w:proofErr w:type="spellEnd"/>
      <w:r>
        <w:rPr>
          <w:rFonts w:ascii="Times New Roman" w:hAnsi="Times New Roman" w:cs="Times New Roman"/>
        </w:rPr>
        <w:t>. Boston: G. K. Hall &amp; Co., 1987. 55-61.</w:t>
      </w:r>
    </w:p>
    <w:p w14:paraId="65A93D69" w14:textId="43238F73" w:rsidR="0067370C" w:rsidRDefault="0067370C" w:rsidP="0067370C">
      <w:pPr>
        <w:pStyle w:val="Footnote"/>
        <w:ind w:left="360" w:hanging="360"/>
        <w:rPr>
          <w:rStyle w:val="None"/>
          <w:rFonts w:ascii="Times New Roman" w:hAnsi="Times New Roman"/>
          <w:sz w:val="24"/>
          <w:szCs w:val="24"/>
        </w:rPr>
      </w:pPr>
      <w:proofErr w:type="spellStart"/>
      <w:r>
        <w:rPr>
          <w:rStyle w:val="None"/>
          <w:rFonts w:ascii="Times New Roman" w:hAnsi="Times New Roman"/>
          <w:sz w:val="24"/>
          <w:szCs w:val="24"/>
          <w:lang w:val="de-DE"/>
        </w:rPr>
        <w:t>Faucher</w:t>
      </w:r>
      <w:proofErr w:type="spellEnd"/>
      <w:r>
        <w:rPr>
          <w:rStyle w:val="None"/>
          <w:rFonts w:ascii="Times New Roman" w:hAnsi="Times New Roman"/>
          <w:sz w:val="24"/>
          <w:szCs w:val="24"/>
          <w:lang w:val="de-DE"/>
        </w:rPr>
        <w:t xml:space="preserve">, Kane X. </w:t>
      </w:r>
      <w:r>
        <w:rPr>
          <w:rStyle w:val="None"/>
          <w:rFonts w:ascii="Times New Roman" w:hAnsi="Times New Roman"/>
          <w:sz w:val="24"/>
          <w:szCs w:val="24"/>
        </w:rPr>
        <w:t xml:space="preserve">“The Effect of the Atomist Clinamen in the Constitution of </w:t>
      </w:r>
      <w:r w:rsidR="00A525F0">
        <w:rPr>
          <w:rStyle w:val="None"/>
          <w:rFonts w:ascii="Times New Roman" w:hAnsi="Times New Roman"/>
          <w:sz w:val="24"/>
          <w:szCs w:val="24"/>
        </w:rPr>
        <w:t>Borges’</w:t>
      </w:r>
      <w:r>
        <w:rPr>
          <w:rStyle w:val="None"/>
          <w:rFonts w:ascii="Times New Roman" w:hAnsi="Times New Roman"/>
          <w:sz w:val="24"/>
          <w:szCs w:val="24"/>
        </w:rPr>
        <w:t xml:space="preserve">s ‘Library of Babel’” </w:t>
      </w:r>
      <w:r>
        <w:rPr>
          <w:rStyle w:val="None"/>
          <w:rFonts w:ascii="Times New Roman" w:hAnsi="Times New Roman"/>
          <w:i/>
          <w:iCs/>
          <w:sz w:val="24"/>
          <w:szCs w:val="24"/>
          <w:lang w:val="es-ES_tradnl"/>
        </w:rPr>
        <w:t>Variaciones Borges</w:t>
      </w:r>
      <w:r w:rsidR="003A72C0">
        <w:rPr>
          <w:rStyle w:val="None"/>
          <w:rFonts w:ascii="Times New Roman" w:hAnsi="Times New Roman"/>
          <w:i/>
          <w:iCs/>
          <w:sz w:val="24"/>
          <w:szCs w:val="24"/>
          <w:lang w:val="es-ES_tradnl"/>
        </w:rPr>
        <w:t>, vol.</w:t>
      </w:r>
      <w:r>
        <w:rPr>
          <w:rStyle w:val="None"/>
          <w:rFonts w:ascii="Times New Roman" w:hAnsi="Times New Roman"/>
          <w:sz w:val="24"/>
          <w:szCs w:val="24"/>
        </w:rPr>
        <w:t xml:space="preserve"> 23</w:t>
      </w:r>
      <w:r w:rsidR="003A72C0">
        <w:rPr>
          <w:rStyle w:val="None"/>
          <w:rFonts w:ascii="Times New Roman" w:hAnsi="Times New Roman"/>
          <w:sz w:val="24"/>
          <w:szCs w:val="24"/>
        </w:rPr>
        <w:t>, 2007, pp.</w:t>
      </w:r>
      <w:r>
        <w:rPr>
          <w:rStyle w:val="None"/>
          <w:rFonts w:ascii="Times New Roman" w:hAnsi="Times New Roman"/>
          <w:sz w:val="24"/>
          <w:szCs w:val="24"/>
        </w:rPr>
        <w:t xml:space="preserve"> 129-47. </w:t>
      </w:r>
    </w:p>
    <w:p w14:paraId="28A5E43A" w14:textId="68F4E9D7" w:rsidR="008510B9" w:rsidRDefault="008510B9" w:rsidP="008510B9">
      <w:pPr>
        <w:pStyle w:val="Footnote"/>
        <w:ind w:left="360" w:hanging="360"/>
        <w:rPr>
          <w:rStyle w:val="None"/>
          <w:rFonts w:ascii="Times New Roman" w:hAnsi="Times New Roman"/>
          <w:sz w:val="24"/>
          <w:szCs w:val="24"/>
        </w:rPr>
      </w:pPr>
      <w:r>
        <w:rPr>
          <w:rFonts w:ascii="Times New Roman" w:hAnsi="Times New Roman"/>
          <w:sz w:val="24"/>
          <w:szCs w:val="24"/>
          <w:lang w:val="pt-PT"/>
        </w:rPr>
        <w:lastRenderedPageBreak/>
        <w:t>---</w:t>
      </w:r>
      <w:r>
        <w:rPr>
          <w:rStyle w:val="None"/>
          <w:rFonts w:ascii="Times New Roman" w:hAnsi="Times New Roman"/>
          <w:sz w:val="24"/>
          <w:szCs w:val="24"/>
          <w:lang w:val="de-DE"/>
        </w:rPr>
        <w:t xml:space="preserve">. </w:t>
      </w:r>
      <w:r>
        <w:rPr>
          <w:rStyle w:val="None"/>
          <w:rFonts w:ascii="Times New Roman" w:hAnsi="Times New Roman"/>
          <w:sz w:val="24"/>
          <w:szCs w:val="24"/>
        </w:rPr>
        <w:t xml:space="preserve">“A Few Ruminations on </w:t>
      </w:r>
      <w:r w:rsidR="00A63927">
        <w:rPr>
          <w:rStyle w:val="None"/>
          <w:rFonts w:ascii="Times New Roman" w:hAnsi="Times New Roman"/>
          <w:sz w:val="24"/>
          <w:szCs w:val="24"/>
        </w:rPr>
        <w:t>Borges’s</w:t>
      </w:r>
      <w:r>
        <w:rPr>
          <w:rStyle w:val="None"/>
          <w:rFonts w:ascii="Times New Roman" w:hAnsi="Times New Roman"/>
          <w:sz w:val="24"/>
          <w:szCs w:val="24"/>
        </w:rPr>
        <w:t xml:space="preserve"> Notions of Library and Metaphor.” </w:t>
      </w:r>
      <w:r>
        <w:rPr>
          <w:rStyle w:val="None"/>
          <w:rFonts w:ascii="Times New Roman" w:hAnsi="Times New Roman"/>
          <w:i/>
          <w:iCs/>
          <w:sz w:val="24"/>
          <w:szCs w:val="24"/>
          <w:lang w:val="es-ES_tradnl"/>
        </w:rPr>
        <w:t>Variaciones Borges</w:t>
      </w:r>
      <w:r w:rsidR="003A72C0">
        <w:rPr>
          <w:rStyle w:val="None"/>
          <w:rFonts w:ascii="Times New Roman" w:hAnsi="Times New Roman"/>
          <w:i/>
          <w:iCs/>
          <w:sz w:val="24"/>
          <w:szCs w:val="24"/>
          <w:lang w:val="es-ES_tradnl"/>
        </w:rPr>
        <w:t>,</w:t>
      </w:r>
      <w:r>
        <w:rPr>
          <w:rStyle w:val="None"/>
          <w:rFonts w:ascii="Times New Roman" w:hAnsi="Times New Roman"/>
          <w:sz w:val="24"/>
          <w:szCs w:val="24"/>
        </w:rPr>
        <w:t xml:space="preserve"> </w:t>
      </w:r>
      <w:r w:rsidR="003A72C0">
        <w:rPr>
          <w:rStyle w:val="None"/>
          <w:rFonts w:ascii="Times New Roman" w:hAnsi="Times New Roman"/>
          <w:sz w:val="24"/>
          <w:szCs w:val="24"/>
        </w:rPr>
        <w:t xml:space="preserve">vol. </w:t>
      </w:r>
      <w:r>
        <w:rPr>
          <w:rStyle w:val="None"/>
          <w:rFonts w:ascii="Times New Roman" w:hAnsi="Times New Roman"/>
          <w:sz w:val="24"/>
          <w:szCs w:val="24"/>
        </w:rPr>
        <w:t>12</w:t>
      </w:r>
      <w:r w:rsidR="003A72C0">
        <w:rPr>
          <w:rStyle w:val="None"/>
          <w:rFonts w:ascii="Times New Roman" w:hAnsi="Times New Roman"/>
          <w:sz w:val="24"/>
          <w:szCs w:val="24"/>
        </w:rPr>
        <w:t>, 2001,</w:t>
      </w:r>
      <w:r w:rsidR="00214736">
        <w:rPr>
          <w:rStyle w:val="None"/>
          <w:rFonts w:ascii="Times New Roman" w:hAnsi="Times New Roman"/>
          <w:sz w:val="24"/>
          <w:szCs w:val="24"/>
        </w:rPr>
        <w:t xml:space="preserve"> pp.</w:t>
      </w:r>
      <w:r>
        <w:rPr>
          <w:rStyle w:val="None"/>
          <w:rFonts w:ascii="Times New Roman" w:hAnsi="Times New Roman"/>
          <w:sz w:val="24"/>
          <w:szCs w:val="24"/>
        </w:rPr>
        <w:t xml:space="preserve"> 125-37. </w:t>
      </w:r>
    </w:p>
    <w:p w14:paraId="7F314954" w14:textId="77777777" w:rsidR="00732B27" w:rsidRDefault="00732B27" w:rsidP="00732B27">
      <w:pPr>
        <w:pStyle w:val="Footnote"/>
        <w:ind w:left="360" w:hanging="360"/>
        <w:rPr>
          <w:rStyle w:val="None"/>
          <w:rFonts w:ascii="Times New Roman" w:hAnsi="Times New Roman"/>
          <w:sz w:val="24"/>
          <w:szCs w:val="24"/>
        </w:rPr>
      </w:pPr>
      <w:r>
        <w:rPr>
          <w:rStyle w:val="None"/>
          <w:rFonts w:ascii="Times New Roman" w:hAnsi="Times New Roman"/>
          <w:sz w:val="24"/>
          <w:szCs w:val="24"/>
          <w:lang w:val="fr-FR"/>
        </w:rPr>
        <w:t xml:space="preserve">Foucault, Michel. </w:t>
      </w:r>
      <w:r>
        <w:rPr>
          <w:rStyle w:val="None"/>
          <w:rFonts w:ascii="Times New Roman" w:hAnsi="Times New Roman"/>
          <w:sz w:val="24"/>
          <w:szCs w:val="24"/>
        </w:rPr>
        <w:t xml:space="preserve">“Language to Infinity.” </w:t>
      </w:r>
      <w:r>
        <w:rPr>
          <w:rStyle w:val="None"/>
          <w:rFonts w:ascii="Times New Roman" w:hAnsi="Times New Roman"/>
          <w:i/>
          <w:iCs/>
          <w:sz w:val="24"/>
          <w:szCs w:val="24"/>
        </w:rPr>
        <w:t>Language, Counter-memory, Practice: Selected Essays and Interviews</w:t>
      </w:r>
      <w:r>
        <w:rPr>
          <w:rStyle w:val="None"/>
          <w:rFonts w:ascii="Times New Roman" w:hAnsi="Times New Roman"/>
          <w:sz w:val="24"/>
          <w:szCs w:val="24"/>
        </w:rPr>
        <w:t xml:space="preserve">. Trans. Donald F. Bouchard and Sherry Simon. Ithaca, NY: Cornell UP, 1977. 53-67. </w:t>
      </w:r>
    </w:p>
    <w:p w14:paraId="20D70791" w14:textId="77777777" w:rsidR="00511B1F" w:rsidRDefault="00511B1F" w:rsidP="00732B27">
      <w:pPr>
        <w:pStyle w:val="Footnote"/>
        <w:ind w:left="360" w:hanging="360"/>
        <w:rPr>
          <w:rStyle w:val="None"/>
          <w:rFonts w:ascii="Times New Roman" w:hAnsi="Times New Roman"/>
          <w:sz w:val="24"/>
          <w:szCs w:val="24"/>
        </w:rPr>
      </w:pPr>
      <w:r>
        <w:rPr>
          <w:rStyle w:val="None"/>
          <w:rFonts w:ascii="Times New Roman" w:hAnsi="Times New Roman"/>
          <w:sz w:val="24"/>
          <w:szCs w:val="24"/>
        </w:rPr>
        <w:t>Genette, Gérard. “</w:t>
      </w:r>
      <w:proofErr w:type="spellStart"/>
      <w:r>
        <w:rPr>
          <w:rStyle w:val="None"/>
          <w:rFonts w:ascii="Times New Roman" w:hAnsi="Times New Roman"/>
          <w:sz w:val="24"/>
          <w:szCs w:val="24"/>
        </w:rPr>
        <w:t>L’utopie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littéraire</w:t>
      </w:r>
      <w:proofErr w:type="spellEnd"/>
      <w:r>
        <w:rPr>
          <w:rStyle w:val="None"/>
          <w:rFonts w:ascii="Times New Roman" w:hAnsi="Times New Roman"/>
          <w:sz w:val="24"/>
          <w:szCs w:val="24"/>
        </w:rPr>
        <w:t xml:space="preserve">.” </w:t>
      </w:r>
      <w:r>
        <w:rPr>
          <w:rStyle w:val="None"/>
          <w:rFonts w:ascii="Times New Roman" w:hAnsi="Times New Roman"/>
          <w:i/>
          <w:sz w:val="24"/>
          <w:szCs w:val="24"/>
        </w:rPr>
        <w:t xml:space="preserve">Figures I. </w:t>
      </w:r>
      <w:r w:rsidRPr="00511B1F">
        <w:rPr>
          <w:rStyle w:val="None"/>
          <w:rFonts w:ascii="Times New Roman" w:hAnsi="Times New Roman"/>
          <w:sz w:val="24"/>
          <w:szCs w:val="24"/>
        </w:rPr>
        <w:t>P</w:t>
      </w:r>
      <w:r>
        <w:rPr>
          <w:rStyle w:val="None"/>
          <w:rFonts w:ascii="Times New Roman" w:hAnsi="Times New Roman"/>
          <w:sz w:val="24"/>
          <w:szCs w:val="24"/>
        </w:rPr>
        <w:t xml:space="preserve">aris: Editions du </w:t>
      </w:r>
      <w:proofErr w:type="spellStart"/>
      <w:r>
        <w:rPr>
          <w:rStyle w:val="None"/>
          <w:rFonts w:ascii="Times New Roman" w:hAnsi="Times New Roman"/>
          <w:sz w:val="24"/>
          <w:szCs w:val="24"/>
        </w:rPr>
        <w:t>Seuil</w:t>
      </w:r>
      <w:proofErr w:type="spellEnd"/>
      <w:r>
        <w:rPr>
          <w:rStyle w:val="None"/>
          <w:rFonts w:ascii="Times New Roman" w:hAnsi="Times New Roman"/>
          <w:sz w:val="24"/>
          <w:szCs w:val="24"/>
        </w:rPr>
        <w:t>, 1966. 123-132</w:t>
      </w:r>
      <w:r w:rsidR="0097702C">
        <w:rPr>
          <w:rStyle w:val="None"/>
          <w:rFonts w:ascii="Times New Roman" w:hAnsi="Times New Roman"/>
          <w:sz w:val="24"/>
          <w:szCs w:val="24"/>
        </w:rPr>
        <w:t>.</w:t>
      </w:r>
    </w:p>
    <w:p w14:paraId="7449F674" w14:textId="77777777" w:rsidR="008F7B13" w:rsidRPr="008F7B13" w:rsidRDefault="008F7B13" w:rsidP="00732B27">
      <w:pPr>
        <w:pStyle w:val="Footnote"/>
        <w:ind w:left="360" w:hanging="360"/>
        <w:rPr>
          <w:rStyle w:val="None"/>
          <w:rFonts w:ascii="Times New Roman" w:hAnsi="Times New Roman"/>
          <w:sz w:val="24"/>
          <w:szCs w:val="24"/>
        </w:rPr>
      </w:pPr>
      <w:proofErr w:type="spellStart"/>
      <w:r>
        <w:rPr>
          <w:rStyle w:val="None"/>
          <w:rFonts w:ascii="Times New Roman" w:hAnsi="Times New Roman"/>
          <w:sz w:val="24"/>
          <w:szCs w:val="24"/>
        </w:rPr>
        <w:t>Giskin</w:t>
      </w:r>
      <w:proofErr w:type="spellEnd"/>
      <w:r>
        <w:rPr>
          <w:rStyle w:val="None"/>
          <w:rFonts w:ascii="Times New Roman" w:hAnsi="Times New Roman"/>
          <w:sz w:val="24"/>
          <w:szCs w:val="24"/>
        </w:rPr>
        <w:t>, Howard. “Borges’ Revisioning of reading in ‘</w:t>
      </w:r>
      <w:r w:rsidR="00565DA7">
        <w:rPr>
          <w:rStyle w:val="None"/>
          <w:rFonts w:ascii="Times New Roman" w:hAnsi="Times New Roman"/>
          <w:sz w:val="24"/>
          <w:szCs w:val="24"/>
        </w:rPr>
        <w:t>Pierre Mena</w:t>
      </w:r>
      <w:r>
        <w:rPr>
          <w:rStyle w:val="None"/>
          <w:rFonts w:ascii="Times New Roman" w:hAnsi="Times New Roman"/>
          <w:sz w:val="24"/>
          <w:szCs w:val="24"/>
        </w:rPr>
        <w:t xml:space="preserve">rd, Author of the Quixote.” </w:t>
      </w:r>
      <w:proofErr w:type="spellStart"/>
      <w:r>
        <w:rPr>
          <w:rStyle w:val="None"/>
          <w:rFonts w:ascii="Times New Roman" w:hAnsi="Times New Roman"/>
          <w:i/>
          <w:sz w:val="24"/>
          <w:szCs w:val="24"/>
        </w:rPr>
        <w:t>Variaciones</w:t>
      </w:r>
      <w:proofErr w:type="spellEnd"/>
      <w:r>
        <w:rPr>
          <w:rStyle w:val="None"/>
          <w:rFonts w:ascii="Times New Roman" w:hAnsi="Times New Roman"/>
          <w:i/>
          <w:sz w:val="24"/>
          <w:szCs w:val="24"/>
        </w:rPr>
        <w:t xml:space="preserve"> Borges</w:t>
      </w:r>
      <w:r>
        <w:rPr>
          <w:rStyle w:val="None"/>
          <w:rFonts w:ascii="Times New Roman" w:hAnsi="Times New Roman"/>
          <w:sz w:val="24"/>
          <w:szCs w:val="24"/>
        </w:rPr>
        <w:t>, vol. 19, 2005, pp. 103-123.</w:t>
      </w:r>
    </w:p>
    <w:p w14:paraId="5480A37F" w14:textId="77777777" w:rsidR="00F822A0" w:rsidRDefault="00F822A0" w:rsidP="00732B27">
      <w:pPr>
        <w:pStyle w:val="Footnote"/>
        <w:ind w:left="360" w:hanging="360"/>
        <w:rPr>
          <w:rStyle w:val="None"/>
          <w:rFonts w:ascii="Times New Roman" w:hAnsi="Times New Roman"/>
          <w:sz w:val="24"/>
          <w:szCs w:val="24"/>
        </w:rPr>
      </w:pPr>
      <w:r>
        <w:rPr>
          <w:rStyle w:val="None"/>
          <w:rFonts w:ascii="Times New Roman" w:hAnsi="Times New Roman"/>
          <w:sz w:val="24"/>
          <w:szCs w:val="24"/>
        </w:rPr>
        <w:t xml:space="preserve">Irby, James E. “Some Notes on ‘Pierre Menard.’” </w:t>
      </w:r>
      <w:r>
        <w:rPr>
          <w:rStyle w:val="None"/>
          <w:rFonts w:ascii="Times New Roman" w:hAnsi="Times New Roman"/>
          <w:i/>
          <w:sz w:val="24"/>
          <w:szCs w:val="24"/>
        </w:rPr>
        <w:t xml:space="preserve">Short Story </w:t>
      </w:r>
      <w:proofErr w:type="spellStart"/>
      <w:r>
        <w:rPr>
          <w:rStyle w:val="None"/>
          <w:rFonts w:ascii="Times New Roman" w:hAnsi="Times New Roman"/>
          <w:i/>
          <w:sz w:val="24"/>
          <w:szCs w:val="24"/>
        </w:rPr>
        <w:t>Critcism</w:t>
      </w:r>
      <w:proofErr w:type="spellEnd"/>
      <w:r>
        <w:rPr>
          <w:rStyle w:val="None"/>
          <w:rFonts w:ascii="Times New Roman" w:hAnsi="Times New Roman"/>
          <w:i/>
          <w:sz w:val="24"/>
          <w:szCs w:val="24"/>
        </w:rPr>
        <w:t xml:space="preserve">. </w:t>
      </w:r>
      <w:r w:rsidRPr="00F822A0">
        <w:rPr>
          <w:rStyle w:val="None"/>
          <w:rFonts w:ascii="Times New Roman" w:hAnsi="Times New Roman"/>
          <w:sz w:val="24"/>
          <w:szCs w:val="24"/>
        </w:rPr>
        <w:t>Ed. Lawrence J. Trudeau.</w:t>
      </w:r>
      <w:r>
        <w:rPr>
          <w:rStyle w:val="None"/>
          <w:rFonts w:ascii="Times New Roman" w:hAnsi="Times New Roman"/>
          <w:sz w:val="24"/>
          <w:szCs w:val="24"/>
        </w:rPr>
        <w:t xml:space="preserve"> Vol. 183. Detroit: Gale, 2013.</w:t>
      </w:r>
    </w:p>
    <w:p w14:paraId="660D1394" w14:textId="77777777" w:rsidR="008D1234" w:rsidRPr="008D1234" w:rsidRDefault="008D1234" w:rsidP="00732B27">
      <w:pPr>
        <w:pStyle w:val="Footnote"/>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Jauss</w:t>
      </w:r>
      <w:proofErr w:type="spellEnd"/>
      <w:r>
        <w:rPr>
          <w:rStyle w:val="None"/>
          <w:rFonts w:ascii="Times New Roman" w:hAnsi="Times New Roman"/>
          <w:sz w:val="24"/>
          <w:szCs w:val="24"/>
        </w:rPr>
        <w:t xml:space="preserve">, Hans Robert. “The Theory of Reception: A Retrospective of its Unrecognized Prehistory.” Trans. John Whitlam. </w:t>
      </w:r>
      <w:r>
        <w:rPr>
          <w:rStyle w:val="None"/>
          <w:rFonts w:ascii="Times New Roman" w:hAnsi="Times New Roman"/>
          <w:i/>
          <w:sz w:val="24"/>
          <w:szCs w:val="24"/>
        </w:rPr>
        <w:t xml:space="preserve">Literary Theory Today. </w:t>
      </w:r>
      <w:r w:rsidRPr="008D1234">
        <w:rPr>
          <w:rStyle w:val="None"/>
          <w:rFonts w:ascii="Times New Roman" w:hAnsi="Times New Roman"/>
          <w:sz w:val="24"/>
          <w:szCs w:val="24"/>
        </w:rPr>
        <w:t>Eds.</w:t>
      </w:r>
      <w:r>
        <w:rPr>
          <w:rStyle w:val="None"/>
          <w:rFonts w:ascii="Times New Roman" w:hAnsi="Times New Roman"/>
          <w:i/>
          <w:sz w:val="24"/>
          <w:szCs w:val="24"/>
        </w:rPr>
        <w:t xml:space="preserve"> </w:t>
      </w:r>
      <w:r>
        <w:rPr>
          <w:rStyle w:val="None"/>
          <w:rFonts w:ascii="Times New Roman" w:hAnsi="Times New Roman"/>
          <w:sz w:val="24"/>
          <w:szCs w:val="24"/>
        </w:rPr>
        <w:t>Peter Collier and Helga Geyer-Ryan. Ithaca: Cornell UP, 1990.</w:t>
      </w:r>
    </w:p>
    <w:p w14:paraId="1EB509CE" w14:textId="77777777" w:rsidR="0067370C" w:rsidRDefault="0067370C" w:rsidP="0067370C">
      <w:pPr>
        <w:pStyle w:val="Footnote"/>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Kristal, </w:t>
      </w:r>
      <w:proofErr w:type="spellStart"/>
      <w:r>
        <w:rPr>
          <w:rStyle w:val="None"/>
          <w:rFonts w:ascii="Times New Roman" w:hAnsi="Times New Roman"/>
          <w:sz w:val="24"/>
          <w:szCs w:val="24"/>
        </w:rPr>
        <w:t>Efraín</w:t>
      </w:r>
      <w:proofErr w:type="spellEnd"/>
      <w:r>
        <w:rPr>
          <w:rStyle w:val="None"/>
          <w:rFonts w:ascii="Times New Roman" w:hAnsi="Times New Roman"/>
          <w:sz w:val="24"/>
          <w:szCs w:val="24"/>
        </w:rPr>
        <w:t xml:space="preserve">. </w:t>
      </w:r>
      <w:r>
        <w:rPr>
          <w:rStyle w:val="None"/>
          <w:rFonts w:ascii="Times New Roman" w:hAnsi="Times New Roman"/>
          <w:i/>
          <w:iCs/>
          <w:sz w:val="24"/>
          <w:szCs w:val="24"/>
        </w:rPr>
        <w:t>Invisible Work: Borges and Translation</w:t>
      </w:r>
      <w:r>
        <w:rPr>
          <w:rStyle w:val="None"/>
          <w:rFonts w:ascii="Times New Roman" w:hAnsi="Times New Roman"/>
          <w:sz w:val="24"/>
          <w:szCs w:val="24"/>
        </w:rPr>
        <w:t xml:space="preserve">. Nashville: Vanderbilt UP, 2002. </w:t>
      </w:r>
    </w:p>
    <w:p w14:paraId="2245F30A" w14:textId="77777777" w:rsidR="0067370C" w:rsidRDefault="0067370C" w:rsidP="0067370C">
      <w:pPr>
        <w:pStyle w:val="Footnote"/>
        <w:ind w:left="360" w:hanging="360"/>
        <w:rPr>
          <w:rStyle w:val="None"/>
          <w:rFonts w:ascii="Times New Roman" w:hAnsi="Times New Roman"/>
          <w:sz w:val="24"/>
          <w:szCs w:val="24"/>
        </w:rPr>
      </w:pPr>
      <w:r>
        <w:rPr>
          <w:rFonts w:ascii="Times New Roman" w:hAnsi="Times New Roman"/>
          <w:sz w:val="24"/>
          <w:szCs w:val="24"/>
          <w:lang w:val="pt-PT"/>
        </w:rPr>
        <w:t>---</w:t>
      </w:r>
      <w:r>
        <w:rPr>
          <w:rStyle w:val="None"/>
          <w:rFonts w:ascii="Times New Roman" w:hAnsi="Times New Roman"/>
          <w:sz w:val="24"/>
          <w:szCs w:val="24"/>
        </w:rPr>
        <w:t xml:space="preserve">. “UCLA Professor </w:t>
      </w:r>
      <w:proofErr w:type="spellStart"/>
      <w:r>
        <w:rPr>
          <w:rStyle w:val="None"/>
          <w:rFonts w:ascii="Times New Roman" w:hAnsi="Times New Roman"/>
          <w:sz w:val="24"/>
          <w:szCs w:val="24"/>
        </w:rPr>
        <w:t>Erain</w:t>
      </w:r>
      <w:proofErr w:type="spellEnd"/>
      <w:r>
        <w:rPr>
          <w:rStyle w:val="None"/>
          <w:rFonts w:ascii="Times New Roman" w:hAnsi="Times New Roman"/>
          <w:sz w:val="24"/>
          <w:szCs w:val="24"/>
        </w:rPr>
        <w:t xml:space="preserve"> [</w:t>
      </w:r>
      <w:r>
        <w:rPr>
          <w:rStyle w:val="None"/>
          <w:rFonts w:ascii="Times New Roman" w:hAnsi="Times New Roman"/>
          <w:i/>
          <w:sz w:val="24"/>
          <w:szCs w:val="24"/>
        </w:rPr>
        <w:t>sic</w:t>
      </w:r>
      <w:r>
        <w:rPr>
          <w:rStyle w:val="None"/>
          <w:rFonts w:ascii="Times New Roman" w:hAnsi="Times New Roman"/>
          <w:sz w:val="24"/>
          <w:szCs w:val="24"/>
        </w:rPr>
        <w:t>] Kristal Delivers the 118th Faculty Research Lecture on ‘</w:t>
      </w:r>
      <w:r>
        <w:rPr>
          <w:rStyle w:val="None"/>
          <w:rFonts w:ascii="Times New Roman" w:hAnsi="Times New Roman"/>
          <w:sz w:val="24"/>
          <w:szCs w:val="24"/>
          <w:lang w:val="pt-PT"/>
        </w:rPr>
        <w:t xml:space="preserve">Jorge </w:t>
      </w:r>
      <w:proofErr w:type="spellStart"/>
      <w:r>
        <w:rPr>
          <w:rStyle w:val="None"/>
          <w:rFonts w:ascii="Times New Roman" w:hAnsi="Times New Roman"/>
          <w:sz w:val="24"/>
          <w:szCs w:val="24"/>
          <w:lang w:val="pt-PT"/>
        </w:rPr>
        <w:t>Luis</w:t>
      </w:r>
      <w:proofErr w:type="spellEnd"/>
      <w:r>
        <w:rPr>
          <w:rStyle w:val="None"/>
          <w:rFonts w:ascii="Times New Roman" w:hAnsi="Times New Roman"/>
          <w:sz w:val="24"/>
          <w:szCs w:val="24"/>
          <w:lang w:val="pt-PT"/>
        </w:rPr>
        <w:t xml:space="preserve"> </w:t>
      </w:r>
      <w:proofErr w:type="spellStart"/>
      <w:r w:rsidR="00A63927">
        <w:rPr>
          <w:rStyle w:val="None"/>
          <w:rFonts w:ascii="Times New Roman" w:hAnsi="Times New Roman"/>
          <w:sz w:val="24"/>
          <w:szCs w:val="24"/>
          <w:lang w:val="pt-PT"/>
        </w:rPr>
        <w:t>Borges’s</w:t>
      </w:r>
      <w:proofErr w:type="spellEnd"/>
      <w:r>
        <w:rPr>
          <w:rStyle w:val="None"/>
          <w:rFonts w:ascii="Times New Roman" w:hAnsi="Times New Roman"/>
          <w:sz w:val="24"/>
          <w:szCs w:val="24"/>
        </w:rPr>
        <w:t xml:space="preserve">” UCLA 118th Faculty Research Lecture. UCLA, Los Angeles. 13 May 2015. </w:t>
      </w:r>
      <w:r>
        <w:rPr>
          <w:rStyle w:val="None"/>
          <w:rFonts w:ascii="Times New Roman" w:hAnsi="Times New Roman"/>
          <w:i/>
          <w:iCs/>
          <w:sz w:val="24"/>
          <w:szCs w:val="24"/>
        </w:rPr>
        <w:t>YouTube</w:t>
      </w:r>
      <w:r>
        <w:rPr>
          <w:rStyle w:val="None"/>
          <w:rFonts w:ascii="Times New Roman" w:hAnsi="Times New Roman"/>
          <w:sz w:val="24"/>
          <w:szCs w:val="24"/>
        </w:rPr>
        <w:t>. Web. 4 Jan. 2017. &lt;https://www.youtube.com/watch?v=oXR9AiqRXVQ&gt;.</w:t>
      </w:r>
    </w:p>
    <w:p w14:paraId="708979E2" w14:textId="77777777" w:rsidR="00A63927" w:rsidRDefault="00A63927" w:rsidP="00A63927">
      <w:pPr>
        <w:pStyle w:val="Footnote"/>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de-DE"/>
        </w:rPr>
        <w:t>Lasswitz</w:t>
      </w:r>
      <w:proofErr w:type="spellEnd"/>
      <w:r>
        <w:rPr>
          <w:rStyle w:val="None"/>
          <w:rFonts w:ascii="Times New Roman" w:hAnsi="Times New Roman"/>
          <w:sz w:val="24"/>
          <w:szCs w:val="24"/>
          <w:lang w:val="de-DE"/>
        </w:rPr>
        <w:t xml:space="preserve">, </w:t>
      </w:r>
      <w:proofErr w:type="spellStart"/>
      <w:r>
        <w:rPr>
          <w:rStyle w:val="None"/>
          <w:rFonts w:ascii="Times New Roman" w:hAnsi="Times New Roman"/>
          <w:sz w:val="24"/>
          <w:szCs w:val="24"/>
          <w:lang w:val="de-DE"/>
        </w:rPr>
        <w:t>Kurd</w:t>
      </w:r>
      <w:proofErr w:type="spellEnd"/>
      <w:r>
        <w:rPr>
          <w:rStyle w:val="None"/>
          <w:rFonts w:ascii="Times New Roman" w:hAnsi="Times New Roman"/>
          <w:sz w:val="24"/>
          <w:szCs w:val="24"/>
          <w:lang w:val="de-DE"/>
        </w:rPr>
        <w:t xml:space="preserve">. </w:t>
      </w:r>
      <w:r>
        <w:rPr>
          <w:rStyle w:val="None"/>
          <w:rFonts w:ascii="Times New Roman" w:hAnsi="Times New Roman"/>
          <w:sz w:val="24"/>
          <w:szCs w:val="24"/>
        </w:rPr>
        <w:t xml:space="preserve">“The Universal Library.” Trans. Willy Ley. </w:t>
      </w:r>
      <w:r>
        <w:rPr>
          <w:rStyle w:val="None"/>
          <w:rFonts w:ascii="Times New Roman" w:hAnsi="Times New Roman"/>
          <w:i/>
          <w:iCs/>
          <w:sz w:val="24"/>
          <w:szCs w:val="24"/>
        </w:rPr>
        <w:t xml:space="preserve">Fantasia Mathematica: Being a Set of Stories, </w:t>
      </w:r>
      <w:proofErr w:type="gramStart"/>
      <w:r>
        <w:rPr>
          <w:rStyle w:val="None"/>
          <w:rFonts w:ascii="Times New Roman" w:hAnsi="Times New Roman"/>
          <w:i/>
          <w:iCs/>
          <w:sz w:val="24"/>
          <w:szCs w:val="24"/>
        </w:rPr>
        <w:t>Together</w:t>
      </w:r>
      <w:proofErr w:type="gramEnd"/>
      <w:r>
        <w:rPr>
          <w:rStyle w:val="None"/>
          <w:rFonts w:ascii="Times New Roman" w:hAnsi="Times New Roman"/>
          <w:i/>
          <w:iCs/>
          <w:sz w:val="24"/>
          <w:szCs w:val="24"/>
        </w:rPr>
        <w:t xml:space="preserve"> with a Group of Oddments and Diversions, All Drawn from the Universe of Mathematics</w:t>
      </w:r>
      <w:r>
        <w:rPr>
          <w:rStyle w:val="None"/>
          <w:rFonts w:ascii="Times New Roman" w:hAnsi="Times New Roman"/>
          <w:sz w:val="24"/>
          <w:szCs w:val="24"/>
        </w:rPr>
        <w:t xml:space="preserve">. Ed. Clifton Fadiman. New York, NY: Simon and Schuster, 1958. 237-43. </w:t>
      </w:r>
    </w:p>
    <w:p w14:paraId="6515B63B" w14:textId="77777777" w:rsidR="00A63927" w:rsidRPr="00E700BE" w:rsidRDefault="00E700BE" w:rsidP="00E700BE">
      <w:pPr>
        <w:pStyle w:val="Footnote"/>
        <w:ind w:left="36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Ley, Willy. “Postscript to ‘The Universal Library’” </w:t>
      </w:r>
      <w:r>
        <w:rPr>
          <w:rStyle w:val="None"/>
          <w:rFonts w:ascii="Times New Roman" w:hAnsi="Times New Roman"/>
          <w:i/>
          <w:iCs/>
          <w:sz w:val="24"/>
          <w:szCs w:val="24"/>
        </w:rPr>
        <w:t xml:space="preserve">Fantasia Mathematica: Being a Set of Stories, </w:t>
      </w:r>
      <w:proofErr w:type="gramStart"/>
      <w:r>
        <w:rPr>
          <w:rStyle w:val="None"/>
          <w:rFonts w:ascii="Times New Roman" w:hAnsi="Times New Roman"/>
          <w:i/>
          <w:iCs/>
          <w:sz w:val="24"/>
          <w:szCs w:val="24"/>
        </w:rPr>
        <w:t>Together</w:t>
      </w:r>
      <w:proofErr w:type="gramEnd"/>
      <w:r>
        <w:rPr>
          <w:rStyle w:val="None"/>
          <w:rFonts w:ascii="Times New Roman" w:hAnsi="Times New Roman"/>
          <w:i/>
          <w:iCs/>
          <w:sz w:val="24"/>
          <w:szCs w:val="24"/>
        </w:rPr>
        <w:t xml:space="preserve"> with a Group of Oddments and Diversions, All Drawn from the Universe of Mathematics.</w:t>
      </w:r>
      <w:r>
        <w:rPr>
          <w:rStyle w:val="None"/>
          <w:rFonts w:ascii="Times New Roman" w:hAnsi="Times New Roman"/>
          <w:sz w:val="24"/>
          <w:szCs w:val="24"/>
          <w:lang w:val="de-DE"/>
        </w:rPr>
        <w:t xml:space="preserve"> Ed. </w:t>
      </w:r>
      <w:proofErr w:type="spellStart"/>
      <w:r>
        <w:rPr>
          <w:rStyle w:val="None"/>
          <w:rFonts w:ascii="Times New Roman" w:hAnsi="Times New Roman"/>
          <w:sz w:val="24"/>
          <w:szCs w:val="24"/>
          <w:lang w:val="de-DE"/>
        </w:rPr>
        <w:t>Clifton</w:t>
      </w:r>
      <w:proofErr w:type="spellEnd"/>
      <w:r>
        <w:rPr>
          <w:rStyle w:val="None"/>
          <w:rFonts w:ascii="Times New Roman" w:hAnsi="Times New Roman"/>
          <w:sz w:val="24"/>
          <w:szCs w:val="24"/>
          <w:lang w:val="de-DE"/>
        </w:rPr>
        <w:t xml:space="preserve"> Fadiman. New York, NY: Simon </w:t>
      </w:r>
      <w:proofErr w:type="spellStart"/>
      <w:r>
        <w:rPr>
          <w:rStyle w:val="None"/>
          <w:rFonts w:ascii="Times New Roman" w:hAnsi="Times New Roman"/>
          <w:sz w:val="24"/>
          <w:szCs w:val="24"/>
          <w:lang w:val="de-DE"/>
        </w:rPr>
        <w:t>and</w:t>
      </w:r>
      <w:proofErr w:type="spellEnd"/>
      <w:r>
        <w:rPr>
          <w:rStyle w:val="None"/>
          <w:rFonts w:ascii="Times New Roman" w:hAnsi="Times New Roman"/>
          <w:sz w:val="24"/>
          <w:szCs w:val="24"/>
          <w:lang w:val="de-DE"/>
        </w:rPr>
        <w:t xml:space="preserve"> Schuster, 1958. 244-47. </w:t>
      </w:r>
    </w:p>
    <w:p w14:paraId="0CFCDB44" w14:textId="77777777" w:rsidR="00DE03AB" w:rsidRDefault="00DE03AB" w:rsidP="0067370C">
      <w:pPr>
        <w:pStyle w:val="Footnote"/>
        <w:ind w:left="360" w:hanging="360"/>
        <w:rPr>
          <w:rStyle w:val="None"/>
          <w:rFonts w:ascii="Times New Roman" w:hAnsi="Times New Roman"/>
          <w:sz w:val="24"/>
          <w:szCs w:val="24"/>
        </w:rPr>
      </w:pPr>
      <w:proofErr w:type="spellStart"/>
      <w:r>
        <w:rPr>
          <w:rStyle w:val="None"/>
          <w:rFonts w:ascii="Times New Roman" w:hAnsi="Times New Roman"/>
          <w:sz w:val="24"/>
          <w:szCs w:val="24"/>
        </w:rPr>
        <w:t>Monegal</w:t>
      </w:r>
      <w:proofErr w:type="spellEnd"/>
      <w:r>
        <w:rPr>
          <w:rStyle w:val="None"/>
          <w:rFonts w:ascii="Times New Roman" w:hAnsi="Times New Roman"/>
          <w:sz w:val="24"/>
          <w:szCs w:val="24"/>
        </w:rPr>
        <w:t xml:space="preserve">, Emir Rodriguez. </w:t>
      </w:r>
      <w:r>
        <w:rPr>
          <w:rStyle w:val="None"/>
          <w:rFonts w:ascii="Times New Roman" w:hAnsi="Times New Roman"/>
          <w:i/>
          <w:sz w:val="24"/>
          <w:szCs w:val="24"/>
        </w:rPr>
        <w:t>Jorge Luis Borges: A Literary Biography</w:t>
      </w:r>
      <w:r>
        <w:rPr>
          <w:rStyle w:val="None"/>
          <w:rFonts w:ascii="Times New Roman" w:hAnsi="Times New Roman"/>
          <w:sz w:val="24"/>
          <w:szCs w:val="24"/>
        </w:rPr>
        <w:t>. New York: E. P. Dutton, 1978.</w:t>
      </w:r>
    </w:p>
    <w:p w14:paraId="5B746D68" w14:textId="77777777" w:rsidR="0026415C" w:rsidRPr="0026415C" w:rsidRDefault="0026415C" w:rsidP="0067370C">
      <w:pPr>
        <w:pStyle w:val="Footnote"/>
        <w:ind w:left="360" w:hanging="360"/>
        <w:rPr>
          <w:rStyle w:val="None"/>
          <w:rFonts w:ascii="Times New Roman" w:hAnsi="Times New Roman"/>
          <w:sz w:val="24"/>
          <w:szCs w:val="24"/>
        </w:rPr>
      </w:pPr>
      <w:proofErr w:type="spellStart"/>
      <w:r>
        <w:rPr>
          <w:rStyle w:val="None"/>
          <w:rFonts w:ascii="Times New Roman" w:hAnsi="Times New Roman"/>
          <w:sz w:val="24"/>
          <w:szCs w:val="24"/>
        </w:rPr>
        <w:t>Pellicer</w:t>
      </w:r>
      <w:proofErr w:type="spellEnd"/>
      <w:r>
        <w:rPr>
          <w:rStyle w:val="None"/>
          <w:rFonts w:ascii="Times New Roman" w:hAnsi="Times New Roman"/>
          <w:sz w:val="24"/>
          <w:szCs w:val="24"/>
        </w:rPr>
        <w:t>, Rosa. “</w:t>
      </w:r>
      <w:proofErr w:type="spellStart"/>
      <w:r>
        <w:rPr>
          <w:rStyle w:val="None"/>
          <w:rFonts w:ascii="Times New Roman" w:hAnsi="Times New Roman"/>
          <w:sz w:val="24"/>
          <w:szCs w:val="24"/>
        </w:rPr>
        <w:t>Avatares</w:t>
      </w:r>
      <w:proofErr w:type="spellEnd"/>
      <w:r>
        <w:rPr>
          <w:rStyle w:val="None"/>
          <w:rFonts w:ascii="Times New Roman" w:hAnsi="Times New Roman"/>
          <w:sz w:val="24"/>
          <w:szCs w:val="24"/>
        </w:rPr>
        <w:t xml:space="preserve"> de ‘Pierre Menard, Autor del Quixote.’” </w:t>
      </w:r>
      <w:proofErr w:type="spellStart"/>
      <w:r>
        <w:rPr>
          <w:rStyle w:val="None"/>
          <w:rFonts w:ascii="Times New Roman" w:hAnsi="Times New Roman"/>
          <w:i/>
          <w:sz w:val="24"/>
          <w:szCs w:val="24"/>
        </w:rPr>
        <w:t>Variaciones</w:t>
      </w:r>
      <w:proofErr w:type="spellEnd"/>
      <w:r>
        <w:rPr>
          <w:rStyle w:val="None"/>
          <w:rFonts w:ascii="Times New Roman" w:hAnsi="Times New Roman"/>
          <w:i/>
          <w:sz w:val="24"/>
          <w:szCs w:val="24"/>
        </w:rPr>
        <w:t xml:space="preserve"> Borges</w:t>
      </w:r>
      <w:r>
        <w:rPr>
          <w:rStyle w:val="None"/>
          <w:rFonts w:ascii="Times New Roman" w:hAnsi="Times New Roman"/>
          <w:sz w:val="24"/>
          <w:szCs w:val="24"/>
        </w:rPr>
        <w:t>, vol. 36, 2013, pp. 233-250.</w:t>
      </w:r>
    </w:p>
    <w:p w14:paraId="1C962758" w14:textId="77777777" w:rsidR="00F31F9F" w:rsidRDefault="00F31F9F" w:rsidP="0067370C">
      <w:pPr>
        <w:pStyle w:val="Footnote"/>
        <w:ind w:left="360" w:hanging="360"/>
        <w:rPr>
          <w:rStyle w:val="None"/>
          <w:rFonts w:ascii="Times New Roman" w:hAnsi="Times New Roman"/>
          <w:sz w:val="24"/>
          <w:szCs w:val="24"/>
        </w:rPr>
      </w:pPr>
      <w:r>
        <w:rPr>
          <w:rStyle w:val="None"/>
          <w:rFonts w:ascii="Times New Roman" w:hAnsi="Times New Roman"/>
          <w:sz w:val="24"/>
          <w:szCs w:val="24"/>
        </w:rPr>
        <w:t xml:space="preserve">Prieto, Julio. “Pierre Menard, Traductor de Valéry: Entre </w:t>
      </w:r>
      <w:proofErr w:type="spellStart"/>
      <w:r>
        <w:rPr>
          <w:rStyle w:val="None"/>
          <w:rFonts w:ascii="Times New Roman" w:hAnsi="Times New Roman"/>
          <w:sz w:val="24"/>
          <w:szCs w:val="24"/>
        </w:rPr>
        <w:t>Muertes</w:t>
      </w:r>
      <w:proofErr w:type="spellEnd"/>
      <w:r>
        <w:rPr>
          <w:rStyle w:val="None"/>
          <w:rFonts w:ascii="Times New Roman" w:hAnsi="Times New Roman"/>
          <w:sz w:val="24"/>
          <w:szCs w:val="24"/>
        </w:rPr>
        <w:t xml:space="preserve"> deal Autor.” </w:t>
      </w:r>
      <w:proofErr w:type="spellStart"/>
      <w:r>
        <w:rPr>
          <w:rStyle w:val="None"/>
          <w:rFonts w:ascii="Times New Roman" w:hAnsi="Times New Roman"/>
          <w:i/>
          <w:sz w:val="24"/>
          <w:szCs w:val="24"/>
        </w:rPr>
        <w:t>Variaciones</w:t>
      </w:r>
      <w:proofErr w:type="spellEnd"/>
      <w:r>
        <w:rPr>
          <w:rStyle w:val="None"/>
          <w:rFonts w:ascii="Times New Roman" w:hAnsi="Times New Roman"/>
          <w:i/>
          <w:sz w:val="24"/>
          <w:szCs w:val="24"/>
        </w:rPr>
        <w:t xml:space="preserve"> Borges</w:t>
      </w:r>
      <w:r>
        <w:rPr>
          <w:rStyle w:val="None"/>
          <w:rFonts w:ascii="Times New Roman" w:hAnsi="Times New Roman"/>
          <w:sz w:val="24"/>
          <w:szCs w:val="24"/>
        </w:rPr>
        <w:t xml:space="preserve"> 29 (2010): 53-77. </w:t>
      </w:r>
    </w:p>
    <w:p w14:paraId="47701869" w14:textId="77777777" w:rsidR="00243FB6" w:rsidRPr="00243FB6" w:rsidRDefault="00243FB6" w:rsidP="00243FB6">
      <w:pPr>
        <w:pStyle w:val="Footnote"/>
        <w:ind w:left="360" w:hanging="360"/>
        <w:rPr>
          <w:rStyle w:val="None"/>
          <w:rFonts w:ascii="Times New Roman" w:hAnsi="Times New Roman" w:cs="Times New Roman"/>
        </w:rPr>
      </w:pPr>
      <w:r>
        <w:rPr>
          <w:rFonts w:ascii="Times New Roman" w:hAnsi="Times New Roman" w:cs="Times New Roman"/>
        </w:rPr>
        <w:t xml:space="preserve">Sanchez, M. </w:t>
      </w:r>
      <w:proofErr w:type="spellStart"/>
      <w:r>
        <w:rPr>
          <w:rFonts w:ascii="Times New Roman" w:hAnsi="Times New Roman" w:cs="Times New Roman"/>
        </w:rPr>
        <w:t>Ayelen</w:t>
      </w:r>
      <w:proofErr w:type="spellEnd"/>
      <w:r>
        <w:rPr>
          <w:rFonts w:ascii="Times New Roman" w:hAnsi="Times New Roman" w:cs="Times New Roman"/>
        </w:rPr>
        <w:t xml:space="preserve">, et al.  </w:t>
      </w:r>
      <w:proofErr w:type="spellStart"/>
      <w:r>
        <w:rPr>
          <w:rFonts w:ascii="Times New Roman" w:hAnsi="Times New Roman" w:cs="Times New Roman"/>
          <w:i/>
        </w:rPr>
        <w:t>Fantasía</w:t>
      </w:r>
      <w:proofErr w:type="spellEnd"/>
      <w:r>
        <w:rPr>
          <w:rFonts w:ascii="Times New Roman" w:hAnsi="Times New Roman" w:cs="Times New Roman"/>
          <w:i/>
        </w:rPr>
        <w:t xml:space="preserve"> e </w:t>
      </w:r>
      <w:proofErr w:type="spellStart"/>
      <w:r>
        <w:rPr>
          <w:rFonts w:ascii="Times New Roman" w:hAnsi="Times New Roman" w:cs="Times New Roman"/>
          <w:i/>
        </w:rPr>
        <w:t>ironía</w:t>
      </w:r>
      <w:proofErr w:type="spellEnd"/>
      <w:r>
        <w:rPr>
          <w:rFonts w:ascii="Times New Roman" w:hAnsi="Times New Roman" w:cs="Times New Roman"/>
          <w:i/>
        </w:rPr>
        <w:t xml:space="preserve">: </w:t>
      </w:r>
      <w:proofErr w:type="spellStart"/>
      <w:r>
        <w:rPr>
          <w:rFonts w:ascii="Times New Roman" w:hAnsi="Times New Roman" w:cs="Times New Roman"/>
          <w:i/>
        </w:rPr>
        <w:t>en</w:t>
      </w:r>
      <w:proofErr w:type="spellEnd"/>
      <w:r>
        <w:rPr>
          <w:rFonts w:ascii="Times New Roman" w:hAnsi="Times New Roman" w:cs="Times New Roman"/>
          <w:i/>
        </w:rPr>
        <w:t xml:space="preserve"> Jorge Luis Borges y Ezequiel Martínez Estrada</w:t>
      </w:r>
      <w:r>
        <w:rPr>
          <w:rFonts w:ascii="Times New Roman" w:hAnsi="Times New Roman" w:cs="Times New Roman"/>
        </w:rPr>
        <w:t>. Bahía Blanca: Editorial de la Universidad Nacional del Sur, 2013.</w:t>
      </w:r>
    </w:p>
    <w:p w14:paraId="32654BE3" w14:textId="77777777" w:rsidR="008510B9" w:rsidRDefault="008510B9" w:rsidP="008510B9">
      <w:pPr>
        <w:pStyle w:val="Footnote"/>
        <w:ind w:left="360" w:hanging="360"/>
        <w:rPr>
          <w:rStyle w:val="None"/>
          <w:rFonts w:ascii="Times New Roman" w:hAnsi="Times New Roman"/>
          <w:sz w:val="24"/>
          <w:szCs w:val="24"/>
        </w:rPr>
      </w:pPr>
      <w:proofErr w:type="spellStart"/>
      <w:r>
        <w:rPr>
          <w:rStyle w:val="None"/>
          <w:rFonts w:ascii="Times New Roman" w:hAnsi="Times New Roman"/>
          <w:i/>
          <w:sz w:val="24"/>
          <w:szCs w:val="24"/>
        </w:rPr>
        <w:t>Sefer</w:t>
      </w:r>
      <w:proofErr w:type="spellEnd"/>
      <w:r>
        <w:rPr>
          <w:rStyle w:val="None"/>
          <w:rFonts w:ascii="Times New Roman" w:hAnsi="Times New Roman"/>
          <w:i/>
          <w:sz w:val="24"/>
          <w:szCs w:val="24"/>
        </w:rPr>
        <w:t xml:space="preserve"> </w:t>
      </w:r>
      <w:proofErr w:type="spellStart"/>
      <w:r>
        <w:rPr>
          <w:rStyle w:val="None"/>
          <w:rFonts w:ascii="Times New Roman" w:hAnsi="Times New Roman"/>
          <w:i/>
          <w:sz w:val="24"/>
          <w:szCs w:val="24"/>
        </w:rPr>
        <w:t>Yetzirah</w:t>
      </w:r>
      <w:proofErr w:type="spellEnd"/>
      <w:r>
        <w:rPr>
          <w:rStyle w:val="None"/>
          <w:rFonts w:ascii="Times New Roman" w:hAnsi="Times New Roman"/>
          <w:i/>
          <w:sz w:val="24"/>
          <w:szCs w:val="24"/>
        </w:rPr>
        <w:t>: The Book of Creation</w:t>
      </w:r>
      <w:r>
        <w:rPr>
          <w:rStyle w:val="None"/>
          <w:rFonts w:ascii="Times New Roman" w:hAnsi="Times New Roman"/>
          <w:sz w:val="24"/>
          <w:szCs w:val="24"/>
        </w:rPr>
        <w:t xml:space="preserve">. Trans. and ed. Aryeh Kaplan. San Francisco: Weiser Books, 1997. </w:t>
      </w:r>
    </w:p>
    <w:p w14:paraId="731D11D6" w14:textId="77777777" w:rsidR="00A63927" w:rsidRDefault="00A63927" w:rsidP="00A63927">
      <w:pPr>
        <w:pStyle w:val="Footnote"/>
        <w:ind w:left="360" w:hanging="360"/>
        <w:rPr>
          <w:rStyle w:val="None"/>
          <w:rFonts w:ascii="Times New Roman" w:hAnsi="Times New Roman"/>
          <w:sz w:val="24"/>
          <w:szCs w:val="24"/>
          <w:lang w:val="it-IT"/>
        </w:rPr>
      </w:pPr>
      <w:proofErr w:type="spellStart"/>
      <w:r>
        <w:rPr>
          <w:rStyle w:val="None"/>
          <w:rFonts w:ascii="Times New Roman" w:hAnsi="Times New Roman"/>
          <w:sz w:val="24"/>
          <w:szCs w:val="24"/>
          <w:lang w:val="it-IT"/>
        </w:rPr>
        <w:t>Sturrock</w:t>
      </w:r>
      <w:proofErr w:type="spellEnd"/>
      <w:r>
        <w:rPr>
          <w:rStyle w:val="None"/>
          <w:rFonts w:ascii="Times New Roman" w:hAnsi="Times New Roman"/>
          <w:sz w:val="24"/>
          <w:szCs w:val="24"/>
          <w:lang w:val="it-IT"/>
        </w:rPr>
        <w:t xml:space="preserve">, John. </w:t>
      </w:r>
      <w:r>
        <w:rPr>
          <w:rStyle w:val="None"/>
          <w:rFonts w:ascii="Times New Roman" w:hAnsi="Times New Roman"/>
          <w:i/>
          <w:iCs/>
          <w:sz w:val="24"/>
          <w:szCs w:val="24"/>
        </w:rPr>
        <w:t>Paper Tigers: The Ideal Fictions of Jorge Luis Borges</w:t>
      </w:r>
      <w:r>
        <w:rPr>
          <w:rStyle w:val="None"/>
          <w:rFonts w:ascii="Times New Roman" w:hAnsi="Times New Roman"/>
          <w:sz w:val="24"/>
          <w:szCs w:val="24"/>
          <w:lang w:val="it-IT"/>
        </w:rPr>
        <w:t xml:space="preserve">. Oxford: </w:t>
      </w:r>
      <w:proofErr w:type="spellStart"/>
      <w:r>
        <w:rPr>
          <w:rStyle w:val="None"/>
          <w:rFonts w:ascii="Times New Roman" w:hAnsi="Times New Roman"/>
          <w:sz w:val="24"/>
          <w:szCs w:val="24"/>
          <w:lang w:val="it-IT"/>
        </w:rPr>
        <w:t>Clarendon</w:t>
      </w:r>
      <w:proofErr w:type="spellEnd"/>
      <w:r>
        <w:rPr>
          <w:rStyle w:val="None"/>
          <w:rFonts w:ascii="Times New Roman" w:hAnsi="Times New Roman"/>
          <w:sz w:val="24"/>
          <w:szCs w:val="24"/>
          <w:lang w:val="it-IT"/>
        </w:rPr>
        <w:t xml:space="preserve">, 1977. </w:t>
      </w:r>
    </w:p>
    <w:p w14:paraId="3D423ECC" w14:textId="77777777" w:rsidR="00313F3D" w:rsidRPr="00313F3D" w:rsidRDefault="00313F3D" w:rsidP="00A63927">
      <w:pPr>
        <w:pStyle w:val="Footnote"/>
        <w:ind w:left="360" w:hanging="36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it-IT"/>
        </w:rPr>
        <w:t>Waisman</w:t>
      </w:r>
      <w:proofErr w:type="spellEnd"/>
      <w:r>
        <w:rPr>
          <w:rStyle w:val="None"/>
          <w:rFonts w:ascii="Times New Roman" w:hAnsi="Times New Roman"/>
          <w:sz w:val="24"/>
          <w:szCs w:val="24"/>
          <w:lang w:val="it-IT"/>
        </w:rPr>
        <w:t xml:space="preserve">, Sergio. </w:t>
      </w:r>
      <w:r>
        <w:rPr>
          <w:rStyle w:val="None"/>
          <w:rFonts w:ascii="Times New Roman" w:hAnsi="Times New Roman"/>
          <w:i/>
          <w:sz w:val="24"/>
          <w:szCs w:val="24"/>
          <w:lang w:val="it-IT"/>
        </w:rPr>
        <w:t xml:space="preserve">Borges </w:t>
      </w:r>
      <w:proofErr w:type="spellStart"/>
      <w:r>
        <w:rPr>
          <w:rStyle w:val="None"/>
          <w:rFonts w:ascii="Times New Roman" w:hAnsi="Times New Roman"/>
          <w:i/>
          <w:sz w:val="24"/>
          <w:szCs w:val="24"/>
          <w:lang w:val="it-IT"/>
        </w:rPr>
        <w:t>nad</w:t>
      </w:r>
      <w:proofErr w:type="spellEnd"/>
      <w:r>
        <w:rPr>
          <w:rStyle w:val="None"/>
          <w:rFonts w:ascii="Times New Roman" w:hAnsi="Times New Roman"/>
          <w:i/>
          <w:sz w:val="24"/>
          <w:szCs w:val="24"/>
          <w:lang w:val="it-IT"/>
        </w:rPr>
        <w:t xml:space="preserve"> </w:t>
      </w:r>
      <w:proofErr w:type="spellStart"/>
      <w:r>
        <w:rPr>
          <w:rStyle w:val="None"/>
          <w:rFonts w:ascii="Times New Roman" w:hAnsi="Times New Roman"/>
          <w:i/>
          <w:sz w:val="24"/>
          <w:szCs w:val="24"/>
          <w:lang w:val="it-IT"/>
        </w:rPr>
        <w:t>Translation</w:t>
      </w:r>
      <w:proofErr w:type="spellEnd"/>
      <w:r>
        <w:rPr>
          <w:rStyle w:val="None"/>
          <w:rFonts w:ascii="Times New Roman" w:hAnsi="Times New Roman"/>
          <w:i/>
          <w:sz w:val="24"/>
          <w:szCs w:val="24"/>
          <w:lang w:val="it-IT"/>
        </w:rPr>
        <w:t xml:space="preserve">: The </w:t>
      </w:r>
      <w:proofErr w:type="spellStart"/>
      <w:r>
        <w:rPr>
          <w:rStyle w:val="None"/>
          <w:rFonts w:ascii="Times New Roman" w:hAnsi="Times New Roman"/>
          <w:i/>
          <w:sz w:val="24"/>
          <w:szCs w:val="24"/>
          <w:lang w:val="it-IT"/>
        </w:rPr>
        <w:t>Irreverence</w:t>
      </w:r>
      <w:proofErr w:type="spellEnd"/>
      <w:r>
        <w:rPr>
          <w:rStyle w:val="None"/>
          <w:rFonts w:ascii="Times New Roman" w:hAnsi="Times New Roman"/>
          <w:i/>
          <w:sz w:val="24"/>
          <w:szCs w:val="24"/>
          <w:lang w:val="it-IT"/>
        </w:rPr>
        <w:t xml:space="preserve"> of the </w:t>
      </w:r>
      <w:proofErr w:type="spellStart"/>
      <w:r>
        <w:rPr>
          <w:rStyle w:val="None"/>
          <w:rFonts w:ascii="Times New Roman" w:hAnsi="Times New Roman"/>
          <w:i/>
          <w:sz w:val="24"/>
          <w:szCs w:val="24"/>
          <w:lang w:val="it-IT"/>
        </w:rPr>
        <w:t>Periphery</w:t>
      </w:r>
      <w:proofErr w:type="spellEnd"/>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Lewisburg</w:t>
      </w:r>
      <w:proofErr w:type="spellEnd"/>
      <w:r>
        <w:rPr>
          <w:rStyle w:val="None"/>
          <w:rFonts w:ascii="Times New Roman" w:hAnsi="Times New Roman"/>
          <w:sz w:val="24"/>
          <w:szCs w:val="24"/>
          <w:lang w:val="it-IT"/>
        </w:rPr>
        <w:t xml:space="preserve">: </w:t>
      </w:r>
      <w:proofErr w:type="spellStart"/>
      <w:r>
        <w:rPr>
          <w:rStyle w:val="None"/>
          <w:rFonts w:ascii="Times New Roman" w:hAnsi="Times New Roman"/>
          <w:sz w:val="24"/>
          <w:szCs w:val="24"/>
          <w:lang w:val="it-IT"/>
        </w:rPr>
        <w:t>Bucknell</w:t>
      </w:r>
      <w:proofErr w:type="spellEnd"/>
      <w:r>
        <w:rPr>
          <w:rStyle w:val="None"/>
          <w:rFonts w:ascii="Times New Roman" w:hAnsi="Times New Roman"/>
          <w:sz w:val="24"/>
          <w:szCs w:val="24"/>
          <w:lang w:val="it-IT"/>
        </w:rPr>
        <w:t xml:space="preserve"> UP, 2005. </w:t>
      </w:r>
    </w:p>
    <w:p w14:paraId="316FDBEC" w14:textId="77777777" w:rsidR="00A63927" w:rsidRPr="000450A2" w:rsidRDefault="00A63927" w:rsidP="008510B9">
      <w:pPr>
        <w:pStyle w:val="Footnote"/>
        <w:ind w:left="360" w:hanging="360"/>
        <w:rPr>
          <w:rStyle w:val="None"/>
          <w:rFonts w:ascii="Times New Roman" w:eastAsia="Times New Roman" w:hAnsi="Times New Roman" w:cs="Times New Roman"/>
          <w:sz w:val="24"/>
          <w:szCs w:val="24"/>
        </w:rPr>
      </w:pPr>
    </w:p>
    <w:p w14:paraId="2B54AEF9" w14:textId="77777777" w:rsidR="0067370C" w:rsidRPr="002A5B56" w:rsidRDefault="0067370C" w:rsidP="002A5B56">
      <w:pPr>
        <w:rPr>
          <w:rFonts w:ascii="Times New Roman" w:hAnsi="Times New Roman" w:cs="Times New Roman"/>
        </w:rPr>
      </w:pPr>
    </w:p>
    <w:sectPr w:rsidR="0067370C" w:rsidRPr="002A5B56" w:rsidSect="005471D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345B" w14:textId="77777777" w:rsidR="004E14F3" w:rsidRDefault="004E14F3" w:rsidP="00356B65">
      <w:r>
        <w:separator/>
      </w:r>
    </w:p>
  </w:endnote>
  <w:endnote w:type="continuationSeparator" w:id="0">
    <w:p w14:paraId="59B7DA8A" w14:textId="77777777" w:rsidR="004E14F3" w:rsidRDefault="004E14F3" w:rsidP="0035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184974"/>
      <w:docPartObj>
        <w:docPartGallery w:val="Page Numbers (Bottom of Page)"/>
        <w:docPartUnique/>
      </w:docPartObj>
    </w:sdtPr>
    <w:sdtEndPr>
      <w:rPr>
        <w:rStyle w:val="PageNumber"/>
      </w:rPr>
    </w:sdtEndPr>
    <w:sdtContent>
      <w:p w14:paraId="0A2D29E4" w14:textId="5BD5F89E" w:rsidR="003A72C0" w:rsidRDefault="003A72C0" w:rsidP="00183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C6009" w14:textId="77777777" w:rsidR="003A72C0" w:rsidRDefault="003A72C0" w:rsidP="003A7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04289"/>
      <w:docPartObj>
        <w:docPartGallery w:val="Page Numbers (Bottom of Page)"/>
        <w:docPartUnique/>
      </w:docPartObj>
    </w:sdtPr>
    <w:sdtEndPr>
      <w:rPr>
        <w:rStyle w:val="PageNumber"/>
      </w:rPr>
    </w:sdtEndPr>
    <w:sdtContent>
      <w:p w14:paraId="2C5DE86C" w14:textId="77EFF3C9" w:rsidR="003A72C0" w:rsidRDefault="003A72C0" w:rsidP="00183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DE1F26" w14:textId="77777777" w:rsidR="003A72C0" w:rsidRDefault="003A72C0" w:rsidP="003A72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A6BC" w14:textId="77777777" w:rsidR="004E14F3" w:rsidRDefault="004E14F3" w:rsidP="00356B65">
      <w:r>
        <w:separator/>
      </w:r>
    </w:p>
  </w:footnote>
  <w:footnote w:type="continuationSeparator" w:id="0">
    <w:p w14:paraId="3865AF75" w14:textId="77777777" w:rsidR="004E14F3" w:rsidRDefault="004E14F3" w:rsidP="00356B65">
      <w:r>
        <w:continuationSeparator/>
      </w:r>
    </w:p>
  </w:footnote>
  <w:footnote w:id="1">
    <w:p w14:paraId="2FC78158" w14:textId="77777777" w:rsidR="00164CAA" w:rsidRPr="004E6A24" w:rsidRDefault="00164CAA">
      <w:pPr>
        <w:pStyle w:val="FootnoteText"/>
        <w:rPr>
          <w:rFonts w:ascii="Times New Roman" w:hAnsi="Times New Roman" w:cs="Times New Roman"/>
        </w:rPr>
      </w:pPr>
      <w:r w:rsidRPr="004E6A24">
        <w:rPr>
          <w:rStyle w:val="FootnoteReference"/>
          <w:rFonts w:ascii="Times New Roman" w:hAnsi="Times New Roman" w:cs="Times New Roman"/>
        </w:rPr>
        <w:footnoteRef/>
      </w:r>
      <w:r w:rsidRPr="004E6A24">
        <w:rPr>
          <w:rFonts w:ascii="Times New Roman" w:hAnsi="Times New Roman" w:cs="Times New Roman"/>
        </w:rPr>
        <w:t xml:space="preserve"> I have written at greater length about the various forms of irony in this story in </w:t>
      </w:r>
      <w:r w:rsidRPr="004E6A24">
        <w:rPr>
          <w:rFonts w:ascii="Times New Roman" w:hAnsi="Times New Roman" w:cs="Times New Roman"/>
          <w:i/>
        </w:rPr>
        <w:t>Tar for Mortar: “The Library of Babel” and the Dream of Totality</w:t>
      </w:r>
      <w:r w:rsidRPr="004E6A24">
        <w:rPr>
          <w:rFonts w:ascii="Times New Roman" w:hAnsi="Times New Roman" w:cs="Times New Roman"/>
        </w:rPr>
        <w:t>.</w:t>
      </w:r>
    </w:p>
  </w:footnote>
  <w:footnote w:id="2">
    <w:p w14:paraId="13B9D128" w14:textId="535F9ED3" w:rsidR="00164CAA" w:rsidRDefault="00164CAA" w:rsidP="0067370C">
      <w:pPr>
        <w:pStyle w:val="Footnote"/>
        <w:rPr>
          <w:rFonts w:ascii="Times New Roman" w:eastAsia="Arial Unicode MS" w:hAnsi="Times New Roman" w:cs="Times New Roman"/>
          <w:color w:val="auto"/>
          <w:sz w:val="20"/>
          <w:szCs w:val="20"/>
        </w:rPr>
      </w:pPr>
      <w:r>
        <w:rPr>
          <w:rFonts w:ascii="Times New Roman" w:eastAsia="Times New Roman" w:hAnsi="Times New Roman" w:cs="Times New Roman"/>
          <w:sz w:val="24"/>
          <w:szCs w:val="24"/>
          <w:vertAlign w:val="superscript"/>
        </w:rPr>
        <w:footnoteRef/>
      </w:r>
      <w:r>
        <w:rPr>
          <w:rFonts w:ascii="Times New Roman" w:hAnsi="Times New Roman"/>
        </w:rPr>
        <w:t xml:space="preserve"> From the many authors who have touched on this story, the only explicit doubt of the narrator I have come across is in Kane X. </w:t>
      </w:r>
      <w:proofErr w:type="spellStart"/>
      <w:r>
        <w:rPr>
          <w:rFonts w:ascii="Times New Roman" w:hAnsi="Times New Roman"/>
        </w:rPr>
        <w:t>Faucher’s</w:t>
      </w:r>
      <w:proofErr w:type="spellEnd"/>
      <w:r>
        <w:rPr>
          <w:rFonts w:ascii="Times New Roman" w:hAnsi="Times New Roman"/>
        </w:rPr>
        <w:t xml:space="preserve"> “The Effect of the Atomist Clinamen in the Constitution of Borges’s ‘Library of Babel’” and Neil </w:t>
      </w:r>
      <w:proofErr w:type="spellStart"/>
      <w:r>
        <w:rPr>
          <w:rFonts w:ascii="Times New Roman" w:hAnsi="Times New Roman"/>
        </w:rPr>
        <w:t>Badmington’s</w:t>
      </w:r>
      <w:proofErr w:type="spellEnd"/>
      <w:r>
        <w:rPr>
          <w:rFonts w:ascii="Times New Roman" w:hAnsi="Times New Roman"/>
        </w:rPr>
        <w:t xml:space="preserve"> “</w:t>
      </w:r>
      <w:proofErr w:type="spellStart"/>
      <w:r>
        <w:rPr>
          <w:rFonts w:ascii="Times New Roman" w:hAnsi="Times New Roman"/>
        </w:rPr>
        <w:t>Babelation</w:t>
      </w:r>
      <w:proofErr w:type="spellEnd"/>
      <w:r>
        <w:rPr>
          <w:rFonts w:ascii="Times New Roman" w:hAnsi="Times New Roman"/>
        </w:rPr>
        <w:t xml:space="preserve">.” Emir Rodriguez </w:t>
      </w:r>
      <w:proofErr w:type="spellStart"/>
      <w:r>
        <w:rPr>
          <w:rFonts w:ascii="Times New Roman" w:hAnsi="Times New Roman"/>
        </w:rPr>
        <w:t>Monegal</w:t>
      </w:r>
      <w:proofErr w:type="spellEnd"/>
      <w:r>
        <w:rPr>
          <w:rFonts w:ascii="Times New Roman" w:hAnsi="Times New Roman"/>
        </w:rPr>
        <w:t xml:space="preserve"> </w:t>
      </w:r>
      <w:r w:rsidR="00BF2454">
        <w:rPr>
          <w:rFonts w:ascii="Times New Roman" w:hAnsi="Times New Roman"/>
        </w:rPr>
        <w:t>mentions</w:t>
      </w:r>
      <w:r>
        <w:rPr>
          <w:rFonts w:ascii="Times New Roman" w:hAnsi="Times New Roman"/>
        </w:rPr>
        <w:t xml:space="preserve"> in passing that the story “satirizes the concept of a total library” (89</w:t>
      </w:r>
      <w:proofErr w:type="gramStart"/>
      <w:r>
        <w:rPr>
          <w:rFonts w:ascii="Times New Roman" w:hAnsi="Times New Roman"/>
        </w:rPr>
        <w:t>), but</w:t>
      </w:r>
      <w:proofErr w:type="gramEnd"/>
      <w:r>
        <w:rPr>
          <w:rFonts w:ascii="Times New Roman" w:hAnsi="Times New Roman"/>
        </w:rPr>
        <w:t xml:space="preserve"> does not expand on this </w:t>
      </w:r>
      <w:r w:rsidR="00BF2454">
        <w:rPr>
          <w:rFonts w:ascii="Times New Roman" w:hAnsi="Times New Roman"/>
        </w:rPr>
        <w:t>suggestion</w:t>
      </w:r>
      <w:r>
        <w:rPr>
          <w:rFonts w:ascii="Times New Roman" w:hAnsi="Times New Roman"/>
        </w:rPr>
        <w:t xml:space="preserve">. </w:t>
      </w:r>
    </w:p>
  </w:footnote>
  <w:footnote w:id="3">
    <w:p w14:paraId="5A99AA3F" w14:textId="77777777" w:rsidR="00164CAA" w:rsidRPr="008510B9" w:rsidRDefault="00164CAA" w:rsidP="008510B9">
      <w:pPr>
        <w:pStyle w:val="Footnote"/>
        <w:rPr>
          <w:rFonts w:ascii="Times New Roman" w:hAnsi="Times New Roman" w:cs="Times New Roman"/>
        </w:rPr>
      </w:pPr>
      <w:r w:rsidRPr="008510B9">
        <w:rPr>
          <w:rStyle w:val="FootnoteReference"/>
          <w:rFonts w:ascii="Times New Roman" w:hAnsi="Times New Roman" w:cs="Times New Roman"/>
        </w:rPr>
        <w:footnoteRef/>
      </w:r>
      <w:r w:rsidRPr="008510B9">
        <w:rPr>
          <w:rFonts w:ascii="Times New Roman" w:hAnsi="Times New Roman" w:cs="Times New Roman"/>
        </w:rPr>
        <w:t xml:space="preserve"> It is never a given in the case of </w:t>
      </w:r>
      <w:r>
        <w:rPr>
          <w:rFonts w:ascii="Times New Roman" w:hAnsi="Times New Roman" w:cs="Times New Roman"/>
        </w:rPr>
        <w:t>Borges’s</w:t>
      </w:r>
      <w:r w:rsidRPr="008510B9">
        <w:rPr>
          <w:rFonts w:ascii="Times New Roman" w:hAnsi="Times New Roman" w:cs="Times New Roman"/>
        </w:rPr>
        <w:t xml:space="preserve"> “non-fiction,” but it does in fact appear that this citation is legitimate. See chapter 2, stanza 2 of the </w:t>
      </w:r>
      <w:proofErr w:type="spellStart"/>
      <w:r w:rsidRPr="008510B9">
        <w:rPr>
          <w:rFonts w:ascii="Times New Roman" w:hAnsi="Times New Roman" w:cs="Times New Roman"/>
          <w:i/>
        </w:rPr>
        <w:t>Sefer</w:t>
      </w:r>
      <w:proofErr w:type="spellEnd"/>
      <w:r w:rsidRPr="008510B9">
        <w:rPr>
          <w:rFonts w:ascii="Times New Roman" w:hAnsi="Times New Roman" w:cs="Times New Roman"/>
          <w:i/>
        </w:rPr>
        <w:t xml:space="preserve"> </w:t>
      </w:r>
      <w:proofErr w:type="spellStart"/>
      <w:r w:rsidRPr="008510B9">
        <w:rPr>
          <w:rFonts w:ascii="Times New Roman" w:hAnsi="Times New Roman" w:cs="Times New Roman"/>
          <w:i/>
        </w:rPr>
        <w:t>Yetzirah</w:t>
      </w:r>
      <w:proofErr w:type="spellEnd"/>
      <w:r w:rsidRPr="008510B9">
        <w:rPr>
          <w:rFonts w:ascii="Times New Roman" w:hAnsi="Times New Roman" w:cs="Times New Roman"/>
        </w:rPr>
        <w:t xml:space="preserve"> (100).</w:t>
      </w:r>
    </w:p>
  </w:footnote>
  <w:footnote w:id="4">
    <w:p w14:paraId="54250E00" w14:textId="77777777" w:rsidR="00164CAA" w:rsidRDefault="00164CAA" w:rsidP="008510B9">
      <w:pPr>
        <w:pStyle w:val="Footnote"/>
        <w:rPr>
          <w:rFonts w:eastAsia="Arial Unicode MS" w:cs="Times New Roman"/>
          <w:color w:val="auto"/>
          <w:sz w:val="20"/>
          <w:szCs w:val="20"/>
        </w:rPr>
      </w:pPr>
      <w:r>
        <w:rPr>
          <w:rStyle w:val="None"/>
          <w:rFonts w:ascii="Times New Roman" w:eastAsia="Times New Roman" w:hAnsi="Times New Roman" w:cs="Times New Roman"/>
          <w:sz w:val="24"/>
          <w:szCs w:val="24"/>
          <w:vertAlign w:val="superscript"/>
        </w:rPr>
        <w:footnoteRef/>
      </w:r>
      <w:r>
        <w:rPr>
          <w:rStyle w:val="None"/>
          <w:rFonts w:ascii="Times New Roman" w:hAnsi="Times New Roman"/>
        </w:rPr>
        <w:t xml:space="preserve"> Kane X. </w:t>
      </w:r>
      <w:proofErr w:type="spellStart"/>
      <w:r>
        <w:rPr>
          <w:rStyle w:val="None"/>
          <w:rFonts w:ascii="Times New Roman" w:hAnsi="Times New Roman"/>
        </w:rPr>
        <w:t>Faucher</w:t>
      </w:r>
      <w:proofErr w:type="spellEnd"/>
      <w:r>
        <w:rPr>
          <w:rStyle w:val="None"/>
          <w:rFonts w:ascii="Times New Roman" w:hAnsi="Times New Roman"/>
        </w:rPr>
        <w:t xml:space="preserve">, in “A Few Ruminations on Borges’s Notions of Library and Metaphor,” suggests that the library’s character set must be the Hebrew alphabet. This assumption not only elides the questions raised by the implied transliteration of the manuscript of “The Library of Babel,” but also ignores the complex textual history traced in “The Total </w:t>
      </w:r>
      <w:r w:rsidRPr="008510B9">
        <w:rPr>
          <w:rStyle w:val="None"/>
          <w:rFonts w:ascii="Times New Roman" w:hAnsi="Times New Roman" w:cs="Times New Roman"/>
        </w:rPr>
        <w:t>Library</w:t>
      </w:r>
      <w:r>
        <w:rPr>
          <w:rStyle w:val="None"/>
          <w:rFonts w:ascii="Times New Roman" w:hAnsi="Times New Roman"/>
        </w:rPr>
        <w:t>” of authors attempting to reduce the Roman alphabet to these proportions—authors including Borges himself.</w:t>
      </w:r>
    </w:p>
  </w:footnote>
  <w:footnote w:id="5">
    <w:p w14:paraId="2C96EB0C" w14:textId="77777777" w:rsidR="00164CAA" w:rsidRDefault="00164CAA" w:rsidP="002A5B56">
      <w:pPr>
        <w:pStyle w:val="Footnote"/>
        <w:rPr>
          <w:rFonts w:ascii="Times New Roman" w:eastAsia="Arial Unicode MS" w:hAnsi="Times New Roman" w:cs="Times New Roman"/>
          <w:color w:val="auto"/>
          <w:sz w:val="20"/>
          <w:szCs w:val="20"/>
        </w:rPr>
      </w:pPr>
      <w:r>
        <w:rPr>
          <w:rStyle w:val="None"/>
          <w:rFonts w:ascii="Times New Roman" w:eastAsia="Times New Roman" w:hAnsi="Times New Roman" w:cs="Times New Roman"/>
          <w:sz w:val="24"/>
          <w:szCs w:val="24"/>
          <w:vertAlign w:val="superscript"/>
        </w:rPr>
        <w:footnoteRef/>
      </w:r>
      <w:r>
        <w:rPr>
          <w:rStyle w:val="None"/>
          <w:rFonts w:ascii="Times New Roman" w:hAnsi="Times New Roman"/>
        </w:rPr>
        <w:t xml:space="preserve"> Both the “</w:t>
      </w:r>
      <w:proofErr w:type="spellStart"/>
      <w:r>
        <w:rPr>
          <w:rStyle w:val="None"/>
          <w:rFonts w:ascii="Times New Roman" w:hAnsi="Times New Roman"/>
          <w:i/>
          <w:iCs/>
        </w:rPr>
        <w:t>símbolos</w:t>
      </w:r>
      <w:proofErr w:type="spellEnd"/>
      <w:r>
        <w:rPr>
          <w:rStyle w:val="None"/>
          <w:rFonts w:ascii="Times New Roman" w:hAnsi="Times New Roman"/>
          <w:i/>
          <w:iCs/>
        </w:rPr>
        <w:t xml:space="preserve"> </w:t>
      </w:r>
      <w:proofErr w:type="spellStart"/>
      <w:r>
        <w:rPr>
          <w:rStyle w:val="None"/>
          <w:rFonts w:ascii="Times New Roman" w:hAnsi="Times New Roman"/>
          <w:i/>
          <w:iCs/>
        </w:rPr>
        <w:t>suficientes</w:t>
      </w:r>
      <w:proofErr w:type="spellEnd"/>
      <w:r>
        <w:rPr>
          <w:rStyle w:val="None"/>
          <w:rFonts w:ascii="Times New Roman" w:hAnsi="Times New Roman"/>
        </w:rPr>
        <w:t>” and the wording and colon of the last phrase “</w:t>
      </w:r>
      <w:proofErr w:type="spellStart"/>
      <w:r>
        <w:rPr>
          <w:rStyle w:val="None"/>
          <w:rFonts w:ascii="Times New Roman" w:hAnsi="Times New Roman"/>
          <w:i/>
          <w:iCs/>
        </w:rPr>
        <w:t>todo</w:t>
      </w:r>
      <w:proofErr w:type="spellEnd"/>
      <w:r>
        <w:rPr>
          <w:rStyle w:val="None"/>
          <w:rFonts w:ascii="Times New Roman" w:hAnsi="Times New Roman"/>
          <w:i/>
          <w:iCs/>
        </w:rPr>
        <w:t xml:space="preserve"> lo que es </w:t>
      </w:r>
      <w:proofErr w:type="spellStart"/>
      <w:r>
        <w:rPr>
          <w:rStyle w:val="None"/>
          <w:rFonts w:ascii="Times New Roman" w:hAnsi="Times New Roman"/>
          <w:i/>
          <w:iCs/>
        </w:rPr>
        <w:t>dable</w:t>
      </w:r>
      <w:proofErr w:type="spellEnd"/>
      <w:r>
        <w:rPr>
          <w:rStyle w:val="None"/>
          <w:rFonts w:ascii="Times New Roman" w:hAnsi="Times New Roman"/>
          <w:i/>
          <w:iCs/>
        </w:rPr>
        <w:t xml:space="preserve"> </w:t>
      </w:r>
      <w:proofErr w:type="spellStart"/>
      <w:r>
        <w:rPr>
          <w:rStyle w:val="None"/>
          <w:rFonts w:ascii="Times New Roman" w:hAnsi="Times New Roman"/>
          <w:i/>
          <w:iCs/>
        </w:rPr>
        <w:t>expresar</w:t>
      </w:r>
      <w:proofErr w:type="spellEnd"/>
      <w:r>
        <w:rPr>
          <w:rStyle w:val="None"/>
          <w:rFonts w:ascii="Times New Roman" w:hAnsi="Times New Roman"/>
          <w:i/>
          <w:iCs/>
        </w:rPr>
        <w:t xml:space="preserve">: </w:t>
      </w:r>
      <w:proofErr w:type="spellStart"/>
      <w:r>
        <w:rPr>
          <w:rStyle w:val="None"/>
          <w:rFonts w:ascii="Times New Roman" w:hAnsi="Times New Roman"/>
          <w:i/>
          <w:iCs/>
        </w:rPr>
        <w:t>en</w:t>
      </w:r>
      <w:proofErr w:type="spellEnd"/>
      <w:r>
        <w:rPr>
          <w:rStyle w:val="None"/>
          <w:rFonts w:ascii="Times New Roman" w:hAnsi="Times New Roman"/>
          <w:i/>
          <w:iCs/>
        </w:rPr>
        <w:t xml:space="preserve"> </w:t>
      </w:r>
      <w:proofErr w:type="spellStart"/>
      <w:r>
        <w:rPr>
          <w:rStyle w:val="None"/>
          <w:rFonts w:ascii="Times New Roman" w:hAnsi="Times New Roman"/>
          <w:i/>
          <w:iCs/>
        </w:rPr>
        <w:t>todas</w:t>
      </w:r>
      <w:proofErr w:type="spellEnd"/>
      <w:r>
        <w:rPr>
          <w:rStyle w:val="None"/>
          <w:rFonts w:ascii="Times New Roman" w:hAnsi="Times New Roman"/>
          <w:i/>
          <w:iCs/>
        </w:rPr>
        <w:t xml:space="preserve"> las </w:t>
      </w:r>
      <w:proofErr w:type="spellStart"/>
      <w:r>
        <w:rPr>
          <w:rStyle w:val="None"/>
          <w:rFonts w:ascii="Times New Roman" w:hAnsi="Times New Roman"/>
          <w:i/>
          <w:iCs/>
        </w:rPr>
        <w:t>lenguas</w:t>
      </w:r>
      <w:proofErr w:type="spellEnd"/>
      <w:r>
        <w:rPr>
          <w:rStyle w:val="None"/>
          <w:rFonts w:ascii="Times New Roman" w:hAnsi="Times New Roman"/>
        </w:rPr>
        <w:t>” recall exact phrases from the “The Library of Babel.” Interestingly, both phrases educe the aversion of translators, here and in most translations of the short story.</w:t>
      </w:r>
    </w:p>
  </w:footnote>
  <w:footnote w:id="6">
    <w:p w14:paraId="34C3E50E" w14:textId="77777777" w:rsidR="00164CAA" w:rsidRPr="001F2030" w:rsidRDefault="00164CAA">
      <w:pPr>
        <w:pStyle w:val="FootnoteText"/>
      </w:pPr>
      <w:r>
        <w:rPr>
          <w:rStyle w:val="FootnoteReference"/>
        </w:rPr>
        <w:footnoteRef/>
      </w:r>
      <w:r>
        <w:t xml:space="preserve"> He is also the only translator who retains the ambiguity of the phrase from the opening sentence, “con </w:t>
      </w:r>
      <w:proofErr w:type="spellStart"/>
      <w:r>
        <w:t>vastos</w:t>
      </w:r>
      <w:proofErr w:type="spellEnd"/>
      <w:r>
        <w:t xml:space="preserve"> </w:t>
      </w:r>
      <w:proofErr w:type="spellStart"/>
      <w:r>
        <w:t>pozos</w:t>
      </w:r>
      <w:proofErr w:type="spellEnd"/>
      <w:r>
        <w:t xml:space="preserve"> de </w:t>
      </w:r>
      <w:proofErr w:type="spellStart"/>
      <w:r>
        <w:t>ventilación</w:t>
      </w:r>
      <w:proofErr w:type="spellEnd"/>
      <w:r>
        <w:t xml:space="preserve"> </w:t>
      </w:r>
      <w:proofErr w:type="spellStart"/>
      <w:r>
        <w:t>en</w:t>
      </w:r>
      <w:proofErr w:type="spellEnd"/>
      <w:r>
        <w:t xml:space="preserve"> el medio.” The other translators are split on disambiguating this to mean either that there are vast ventilation pits in the middle of each hexagon, or one pit in between several hexagons. See the opening section of the first chapter of </w:t>
      </w:r>
      <w:r>
        <w:rPr>
          <w:i/>
        </w:rPr>
        <w:t>Tar for Mortar</w:t>
      </w:r>
      <w:r>
        <w:t xml:space="preserve"> for illustrations of what the resulting architecture might resemble.</w:t>
      </w:r>
    </w:p>
  </w:footnote>
  <w:footnote w:id="7">
    <w:p w14:paraId="5A371EAE" w14:textId="77777777" w:rsidR="00164CAA" w:rsidRPr="00EA2809" w:rsidRDefault="00164CAA" w:rsidP="00850016">
      <w:pPr>
        <w:pStyle w:val="FootnoteText"/>
        <w:rPr>
          <w:rFonts w:ascii="Times New Roman" w:hAnsi="Times New Roman" w:cs="Times New Roman"/>
          <w:szCs w:val="22"/>
        </w:rPr>
      </w:pPr>
      <w:r w:rsidRPr="00EA2809">
        <w:rPr>
          <w:rStyle w:val="FootnoteReference"/>
          <w:rFonts w:ascii="Times New Roman" w:hAnsi="Times New Roman" w:cs="Times New Roman"/>
          <w:szCs w:val="22"/>
        </w:rPr>
        <w:footnoteRef/>
      </w:r>
      <w:r w:rsidRPr="00EA2809">
        <w:rPr>
          <w:rFonts w:ascii="Times New Roman" w:hAnsi="Times New Roman" w:cs="Times New Roman"/>
          <w:szCs w:val="22"/>
        </w:rPr>
        <w:t xml:space="preserve"> Julio Prieto interprets the story as a critique of Argentinian literary circles—but doesn’t read it as ironic. He takes the narrator’s (prejudiced) criticisms of Madame Henri </w:t>
      </w:r>
      <w:proofErr w:type="spellStart"/>
      <w:r w:rsidRPr="00EA2809">
        <w:rPr>
          <w:rFonts w:ascii="Times New Roman" w:hAnsi="Times New Roman" w:cs="Times New Roman"/>
          <w:szCs w:val="22"/>
        </w:rPr>
        <w:t>Bachelier</w:t>
      </w:r>
      <w:proofErr w:type="spellEnd"/>
      <w:r w:rsidRPr="00EA2809">
        <w:rPr>
          <w:rFonts w:ascii="Times New Roman" w:hAnsi="Times New Roman" w:cs="Times New Roman"/>
          <w:szCs w:val="22"/>
        </w:rPr>
        <w:t xml:space="preserve"> to be Borges’s critique of Argentina’s li</w:t>
      </w:r>
      <w:r>
        <w:rPr>
          <w:rFonts w:ascii="Times New Roman" w:hAnsi="Times New Roman" w:cs="Times New Roman"/>
          <w:szCs w:val="22"/>
        </w:rPr>
        <w:t xml:space="preserve">terary circles, on the basis of </w:t>
      </w:r>
      <w:r w:rsidRPr="00EA2809">
        <w:rPr>
          <w:rFonts w:ascii="Times New Roman" w:hAnsi="Times New Roman" w:cs="Times New Roman"/>
          <w:szCs w:val="22"/>
        </w:rPr>
        <w:t>Borges’s disdain for Victoria Ocamp</w:t>
      </w:r>
      <w:r>
        <w:rPr>
          <w:rFonts w:ascii="Times New Roman" w:hAnsi="Times New Roman" w:cs="Times New Roman"/>
          <w:szCs w:val="22"/>
        </w:rPr>
        <w:t xml:space="preserve">o’s </w:t>
      </w:r>
      <w:proofErr w:type="spellStart"/>
      <w:r>
        <w:rPr>
          <w:rFonts w:ascii="Times New Roman" w:hAnsi="Times New Roman" w:cs="Times New Roman"/>
          <w:szCs w:val="22"/>
        </w:rPr>
        <w:t>Frenchified</w:t>
      </w:r>
      <w:proofErr w:type="spellEnd"/>
      <w:r>
        <w:rPr>
          <w:rFonts w:ascii="Times New Roman" w:hAnsi="Times New Roman" w:cs="Times New Roman"/>
          <w:szCs w:val="22"/>
        </w:rPr>
        <w:t xml:space="preserve"> literary tastes</w:t>
      </w:r>
      <w:r w:rsidRPr="00EA2809">
        <w:rPr>
          <w:rFonts w:ascii="Times New Roman" w:hAnsi="Times New Roman" w:cs="Times New Roman"/>
          <w:szCs w:val="22"/>
        </w:rPr>
        <w:t>. While there is ample reason to think that Borges had Argentinian society in mind, this connection should start from the ironic</w:t>
      </w:r>
      <w:r>
        <w:rPr>
          <w:rFonts w:ascii="Times New Roman" w:hAnsi="Times New Roman" w:cs="Times New Roman"/>
          <w:szCs w:val="22"/>
        </w:rPr>
        <w:t>, implicit</w:t>
      </w:r>
      <w:r w:rsidRPr="00EA2809">
        <w:rPr>
          <w:rFonts w:ascii="Times New Roman" w:hAnsi="Times New Roman" w:cs="Times New Roman"/>
          <w:szCs w:val="22"/>
        </w:rPr>
        <w:t xml:space="preserve"> critique of the </w:t>
      </w:r>
      <w:r>
        <w:rPr>
          <w:rFonts w:ascii="Times New Roman" w:hAnsi="Times New Roman" w:cs="Times New Roman"/>
          <w:szCs w:val="22"/>
        </w:rPr>
        <w:t xml:space="preserve">story’s </w:t>
      </w:r>
      <w:r w:rsidRPr="00EA2809">
        <w:rPr>
          <w:rFonts w:ascii="Times New Roman" w:hAnsi="Times New Roman" w:cs="Times New Roman"/>
          <w:szCs w:val="22"/>
        </w:rPr>
        <w:t xml:space="preserve">narrator, not his literal </w:t>
      </w:r>
      <w:r>
        <w:rPr>
          <w:rFonts w:ascii="Times New Roman" w:hAnsi="Times New Roman" w:cs="Times New Roman"/>
          <w:szCs w:val="22"/>
        </w:rPr>
        <w:t xml:space="preserve">criticisms of Madame </w:t>
      </w:r>
      <w:proofErr w:type="spellStart"/>
      <w:r>
        <w:rPr>
          <w:rFonts w:ascii="Times New Roman" w:hAnsi="Times New Roman" w:cs="Times New Roman"/>
          <w:szCs w:val="22"/>
        </w:rPr>
        <w:t>Bachelier</w:t>
      </w:r>
      <w:proofErr w:type="spellEnd"/>
      <w:r>
        <w:rPr>
          <w:rFonts w:ascii="Times New Roman" w:hAnsi="Times New Roman" w:cs="Times New Roman"/>
          <w:szCs w:val="22"/>
        </w:rPr>
        <w:t>.</w:t>
      </w:r>
    </w:p>
  </w:footnote>
  <w:footnote w:id="8">
    <w:p w14:paraId="0FA0D5D3" w14:textId="7144CE73" w:rsidR="00164CAA" w:rsidRPr="00EA2809" w:rsidRDefault="00164CAA" w:rsidP="00A27024">
      <w:pPr>
        <w:rPr>
          <w:rFonts w:ascii="Times New Roman" w:eastAsia="Times New Roman" w:hAnsi="Times New Roman" w:cs="Times New Roman"/>
          <w:sz w:val="22"/>
          <w:szCs w:val="22"/>
        </w:rPr>
      </w:pPr>
      <w:r w:rsidRPr="00EA2809">
        <w:rPr>
          <w:rStyle w:val="FootnoteReference"/>
          <w:rFonts w:ascii="Times New Roman" w:hAnsi="Times New Roman" w:cs="Times New Roman"/>
          <w:sz w:val="22"/>
          <w:szCs w:val="22"/>
        </w:rPr>
        <w:footnoteRef/>
      </w:r>
      <w:r w:rsidRPr="00EA2809">
        <w:rPr>
          <w:rFonts w:ascii="Times New Roman" w:hAnsi="Times New Roman" w:cs="Times New Roman"/>
          <w:sz w:val="22"/>
          <w:szCs w:val="22"/>
        </w:rPr>
        <w:t xml:space="preserve"> </w:t>
      </w:r>
      <w:r w:rsidR="009F329B">
        <w:rPr>
          <w:rFonts w:ascii="Times New Roman" w:hAnsi="Times New Roman" w:cs="Times New Roman"/>
          <w:sz w:val="22"/>
          <w:szCs w:val="22"/>
        </w:rPr>
        <w:t xml:space="preserve">Borges’s </w:t>
      </w:r>
      <w:r w:rsidRPr="00EA2809">
        <w:rPr>
          <w:rFonts w:ascii="Times New Roman" w:hAnsi="Times New Roman" w:cs="Times New Roman"/>
          <w:sz w:val="22"/>
          <w:szCs w:val="22"/>
        </w:rPr>
        <w:t xml:space="preserve">review of Ludendorff’s journal, </w:t>
      </w:r>
      <w:r w:rsidRPr="00EA2809">
        <w:rPr>
          <w:rFonts w:ascii="Times New Roman" w:hAnsi="Times New Roman" w:cs="Times New Roman"/>
          <w:i/>
          <w:sz w:val="22"/>
          <w:szCs w:val="22"/>
        </w:rPr>
        <w:t xml:space="preserve">The Sacred Source of German Might, </w:t>
      </w:r>
      <w:r w:rsidRPr="00EA2809">
        <w:rPr>
          <w:rFonts w:ascii="Times New Roman" w:hAnsi="Times New Roman" w:cs="Times New Roman"/>
          <w:sz w:val="22"/>
          <w:szCs w:val="22"/>
        </w:rPr>
        <w:t xml:space="preserve">in </w:t>
      </w:r>
      <w:r w:rsidRPr="00EA2809">
        <w:rPr>
          <w:rFonts w:ascii="Times New Roman" w:eastAsia="Times New Roman" w:hAnsi="Times New Roman" w:cs="Times New Roman"/>
          <w:i/>
          <w:iCs/>
          <w:color w:val="252845"/>
          <w:sz w:val="22"/>
          <w:szCs w:val="22"/>
          <w:bdr w:val="none" w:sz="0" w:space="0" w:color="auto" w:frame="1"/>
        </w:rPr>
        <w:t xml:space="preserve">El </w:t>
      </w:r>
      <w:proofErr w:type="spellStart"/>
      <w:r w:rsidRPr="00EA2809">
        <w:rPr>
          <w:rFonts w:ascii="Times New Roman" w:eastAsia="Times New Roman" w:hAnsi="Times New Roman" w:cs="Times New Roman"/>
          <w:i/>
          <w:iCs/>
          <w:color w:val="252845"/>
          <w:sz w:val="22"/>
          <w:szCs w:val="22"/>
          <w:bdr w:val="none" w:sz="0" w:space="0" w:color="auto" w:frame="1"/>
        </w:rPr>
        <w:t>Hogar</w:t>
      </w:r>
      <w:proofErr w:type="spellEnd"/>
      <w:r w:rsidRPr="00EA2809">
        <w:rPr>
          <w:rFonts w:ascii="Times New Roman" w:eastAsia="Times New Roman" w:hAnsi="Times New Roman" w:cs="Times New Roman"/>
          <w:i/>
          <w:iCs/>
          <w:color w:val="252845"/>
          <w:sz w:val="22"/>
          <w:szCs w:val="22"/>
          <w:bdr w:val="none" w:sz="0" w:space="0" w:color="auto" w:frame="1"/>
        </w:rPr>
        <w:t> </w:t>
      </w:r>
      <w:r w:rsidRPr="00EA2809">
        <w:rPr>
          <w:rFonts w:ascii="Times New Roman" w:eastAsia="Times New Roman" w:hAnsi="Times New Roman" w:cs="Times New Roman"/>
          <w:color w:val="252845"/>
          <w:sz w:val="22"/>
          <w:szCs w:val="22"/>
          <w:shd w:val="clear" w:color="auto" w:fill="FFFFFF"/>
        </w:rPr>
        <w:t xml:space="preserve">33.1455 (3 September 1937), p. 30, </w:t>
      </w:r>
      <w:r w:rsidR="0019628A">
        <w:rPr>
          <w:rFonts w:ascii="Times New Roman" w:eastAsia="Times New Roman" w:hAnsi="Times New Roman" w:cs="Times New Roman"/>
          <w:color w:val="252845"/>
          <w:sz w:val="22"/>
          <w:szCs w:val="22"/>
          <w:shd w:val="clear" w:color="auto" w:fill="FFFFFF"/>
        </w:rPr>
        <w:t>mentions his prejudices against freemasons, protestants, and Jews, prejudices shared by the narrator</w:t>
      </w:r>
      <w:r w:rsidR="00C56A25">
        <w:rPr>
          <w:rFonts w:ascii="Times New Roman" w:eastAsia="Times New Roman" w:hAnsi="Times New Roman" w:cs="Times New Roman"/>
          <w:color w:val="252845"/>
          <w:sz w:val="22"/>
          <w:szCs w:val="22"/>
          <w:shd w:val="clear" w:color="auto" w:fill="FFFFFF"/>
        </w:rPr>
        <w:t xml:space="preserve"> of “Pierre Menard” (</w:t>
      </w:r>
      <w:proofErr w:type="spellStart"/>
      <w:r w:rsidR="00C56A25">
        <w:rPr>
          <w:rFonts w:ascii="Times New Roman" w:eastAsia="Times New Roman" w:hAnsi="Times New Roman" w:cs="Times New Roman"/>
          <w:i/>
          <w:color w:val="252845"/>
          <w:sz w:val="22"/>
          <w:szCs w:val="22"/>
          <w:shd w:val="clear" w:color="auto" w:fill="FFFFFF"/>
        </w:rPr>
        <w:t>Textos</w:t>
      </w:r>
      <w:proofErr w:type="spellEnd"/>
      <w:r w:rsidR="00C56A25">
        <w:rPr>
          <w:rFonts w:ascii="Times New Roman" w:eastAsia="Times New Roman" w:hAnsi="Times New Roman" w:cs="Times New Roman"/>
          <w:i/>
          <w:color w:val="252845"/>
          <w:sz w:val="22"/>
          <w:szCs w:val="22"/>
          <w:shd w:val="clear" w:color="auto" w:fill="FFFFFF"/>
        </w:rPr>
        <w:t xml:space="preserve"> </w:t>
      </w:r>
      <w:proofErr w:type="spellStart"/>
      <w:r w:rsidR="00C56A25">
        <w:rPr>
          <w:rFonts w:ascii="Times New Roman" w:eastAsia="Times New Roman" w:hAnsi="Times New Roman" w:cs="Times New Roman"/>
          <w:i/>
          <w:color w:val="252845"/>
          <w:sz w:val="22"/>
          <w:szCs w:val="22"/>
          <w:shd w:val="clear" w:color="auto" w:fill="FFFFFF"/>
        </w:rPr>
        <w:t>Cautivos</w:t>
      </w:r>
      <w:proofErr w:type="spellEnd"/>
      <w:r w:rsidR="00C56A25">
        <w:rPr>
          <w:rFonts w:ascii="Times New Roman" w:eastAsia="Times New Roman" w:hAnsi="Times New Roman" w:cs="Times New Roman"/>
          <w:i/>
          <w:color w:val="252845"/>
          <w:sz w:val="22"/>
          <w:szCs w:val="22"/>
          <w:shd w:val="clear" w:color="auto" w:fill="FFFFFF"/>
        </w:rPr>
        <w:t xml:space="preserve"> </w:t>
      </w:r>
      <w:r w:rsidR="00C56A25">
        <w:rPr>
          <w:rFonts w:ascii="Times New Roman" w:eastAsia="Times New Roman" w:hAnsi="Times New Roman" w:cs="Times New Roman"/>
          <w:color w:val="252845"/>
          <w:sz w:val="22"/>
          <w:szCs w:val="22"/>
          <w:shd w:val="clear" w:color="auto" w:fill="FFFFFF"/>
        </w:rPr>
        <w:t>165).</w:t>
      </w:r>
      <w:r w:rsidR="0019628A">
        <w:rPr>
          <w:rFonts w:ascii="Times New Roman" w:eastAsia="Times New Roman" w:hAnsi="Times New Roman" w:cs="Times New Roman"/>
          <w:color w:val="252845"/>
          <w:sz w:val="22"/>
          <w:szCs w:val="22"/>
          <w:shd w:val="clear" w:color="auto" w:fill="FFFFFF"/>
        </w:rPr>
        <w:t xml:space="preserve"> Borges also wrote</w:t>
      </w:r>
      <w:r w:rsidR="000A62E3">
        <w:rPr>
          <w:rFonts w:ascii="Times New Roman" w:eastAsia="Times New Roman" w:hAnsi="Times New Roman" w:cs="Times New Roman"/>
          <w:color w:val="252845"/>
          <w:sz w:val="22"/>
          <w:szCs w:val="22"/>
          <w:shd w:val="clear" w:color="auto" w:fill="FFFFFF"/>
        </w:rPr>
        <w:t xml:space="preserve"> </w:t>
      </w:r>
      <w:r w:rsidR="0019628A">
        <w:rPr>
          <w:rFonts w:ascii="Times New Roman" w:hAnsi="Times New Roman" w:cs="Times New Roman"/>
          <w:sz w:val="22"/>
          <w:szCs w:val="22"/>
        </w:rPr>
        <w:t>a</w:t>
      </w:r>
      <w:r w:rsidRPr="00EA2809">
        <w:rPr>
          <w:rFonts w:ascii="Times New Roman" w:hAnsi="Times New Roman" w:cs="Times New Roman"/>
          <w:sz w:val="22"/>
          <w:szCs w:val="22"/>
        </w:rPr>
        <w:t xml:space="preserve"> review of Ludendorff’s </w:t>
      </w:r>
      <w:r w:rsidRPr="00EA2809">
        <w:rPr>
          <w:rFonts w:ascii="Times New Roman" w:hAnsi="Times New Roman" w:cs="Times New Roman"/>
          <w:i/>
          <w:sz w:val="22"/>
          <w:szCs w:val="22"/>
        </w:rPr>
        <w:t>Total War</w:t>
      </w:r>
      <w:r w:rsidRPr="00EA2809">
        <w:rPr>
          <w:rFonts w:ascii="Times New Roman" w:hAnsi="Times New Roman" w:cs="Times New Roman"/>
          <w:sz w:val="22"/>
          <w:szCs w:val="22"/>
        </w:rPr>
        <w:t xml:space="preserve"> in </w:t>
      </w:r>
      <w:r w:rsidRPr="00EA2809">
        <w:rPr>
          <w:rFonts w:ascii="Times New Roman" w:eastAsia="Times New Roman" w:hAnsi="Times New Roman" w:cs="Times New Roman"/>
          <w:i/>
          <w:iCs/>
          <w:color w:val="252845"/>
          <w:sz w:val="22"/>
          <w:szCs w:val="22"/>
          <w:bdr w:val="none" w:sz="0" w:space="0" w:color="auto" w:frame="1"/>
        </w:rPr>
        <w:t xml:space="preserve">El </w:t>
      </w:r>
      <w:proofErr w:type="spellStart"/>
      <w:r w:rsidRPr="00EA2809">
        <w:rPr>
          <w:rFonts w:ascii="Times New Roman" w:eastAsia="Times New Roman" w:hAnsi="Times New Roman" w:cs="Times New Roman"/>
          <w:i/>
          <w:iCs/>
          <w:color w:val="252845"/>
          <w:sz w:val="22"/>
          <w:szCs w:val="22"/>
          <w:bdr w:val="none" w:sz="0" w:space="0" w:color="auto" w:frame="1"/>
        </w:rPr>
        <w:t>Hogar</w:t>
      </w:r>
      <w:proofErr w:type="spellEnd"/>
      <w:r w:rsidRPr="00EA2809">
        <w:rPr>
          <w:rFonts w:ascii="Times New Roman" w:eastAsia="Times New Roman" w:hAnsi="Times New Roman" w:cs="Times New Roman"/>
          <w:i/>
          <w:iCs/>
          <w:color w:val="252845"/>
          <w:sz w:val="22"/>
          <w:szCs w:val="22"/>
          <w:bdr w:val="none" w:sz="0" w:space="0" w:color="auto" w:frame="1"/>
        </w:rPr>
        <w:t> </w:t>
      </w:r>
      <w:r w:rsidRPr="00EA2809">
        <w:rPr>
          <w:rFonts w:ascii="Times New Roman" w:eastAsia="Times New Roman" w:hAnsi="Times New Roman" w:cs="Times New Roman"/>
          <w:color w:val="252845"/>
          <w:sz w:val="22"/>
          <w:szCs w:val="22"/>
          <w:shd w:val="clear" w:color="auto" w:fill="FFFFFF"/>
        </w:rPr>
        <w:t>34.1475 (21 January 1938), p. 24</w:t>
      </w:r>
      <w:r w:rsidR="0019628A">
        <w:rPr>
          <w:rFonts w:ascii="Times New Roman" w:eastAsia="Times New Roman" w:hAnsi="Times New Roman" w:cs="Times New Roman"/>
          <w:color w:val="252845"/>
          <w:sz w:val="22"/>
          <w:szCs w:val="22"/>
          <w:shd w:val="clear" w:color="auto" w:fill="FFFFFF"/>
        </w:rPr>
        <w:t>.</w:t>
      </w:r>
    </w:p>
    <w:p w14:paraId="2837C69C" w14:textId="77777777" w:rsidR="00164CAA" w:rsidRPr="00A27024" w:rsidRDefault="00164CAA" w:rsidP="00A27024">
      <w:pPr>
        <w:rPr>
          <w:rFonts w:ascii="Times New Roman" w:eastAsia="Times New Roman" w:hAnsi="Times New Roman" w:cs="Times New Roman"/>
        </w:rPr>
      </w:pPr>
    </w:p>
    <w:p w14:paraId="7ECB2908" w14:textId="77777777" w:rsidR="00164CAA" w:rsidRPr="00A27024" w:rsidRDefault="00164CAA">
      <w:pPr>
        <w:pStyle w:val="FootnoteText"/>
      </w:pPr>
    </w:p>
  </w:footnote>
  <w:footnote w:id="9">
    <w:p w14:paraId="52F21A5B" w14:textId="77777777" w:rsidR="00164CAA" w:rsidRPr="00AB7FEE" w:rsidRDefault="00164CAA">
      <w:pPr>
        <w:pStyle w:val="FootnoteText"/>
        <w:rPr>
          <w:rFonts w:ascii="Times New Roman" w:hAnsi="Times New Roman" w:cs="Times New Roman"/>
        </w:rPr>
      </w:pPr>
      <w:r w:rsidRPr="00AB7FEE">
        <w:rPr>
          <w:rStyle w:val="FootnoteReference"/>
          <w:rFonts w:ascii="Times New Roman" w:hAnsi="Times New Roman" w:cs="Times New Roman"/>
        </w:rPr>
        <w:footnoteRef/>
      </w:r>
      <w:r w:rsidRPr="00AB7FEE">
        <w:rPr>
          <w:rFonts w:ascii="Times New Roman" w:hAnsi="Times New Roman" w:cs="Times New Roman"/>
        </w:rPr>
        <w:t xml:space="preserve"> Spirit as a universal and trans-historical author forms the subject of Gerard Genette’s elegant essay on Borges, “</w:t>
      </w:r>
      <w:proofErr w:type="spellStart"/>
      <w:r w:rsidRPr="00AB7FEE">
        <w:rPr>
          <w:rFonts w:ascii="Times New Roman" w:hAnsi="Times New Roman" w:cs="Times New Roman"/>
        </w:rPr>
        <w:t>L’utopie</w:t>
      </w:r>
      <w:proofErr w:type="spellEnd"/>
      <w:r w:rsidRPr="00AB7FEE">
        <w:rPr>
          <w:rFonts w:ascii="Times New Roman" w:hAnsi="Times New Roman" w:cs="Times New Roman"/>
        </w:rPr>
        <w:t xml:space="preserve"> </w:t>
      </w:r>
      <w:proofErr w:type="spellStart"/>
      <w:r w:rsidRPr="00AB7FEE">
        <w:rPr>
          <w:rFonts w:ascii="Times New Roman" w:hAnsi="Times New Roman" w:cs="Times New Roman"/>
        </w:rPr>
        <w:t>littéraire</w:t>
      </w:r>
      <w:proofErr w:type="spellEnd"/>
      <w:r w:rsidRPr="00AB7FEE">
        <w:rPr>
          <w:rFonts w:ascii="Times New Roman" w:hAnsi="Times New Roman" w:cs="Times New Roman"/>
        </w:rPr>
        <w:t xml:space="preserve">.” He reads the erudition of Borges’s essays, constantly finding the predecessors of every seemingly novel idea, as an endless proof of the phenomenality of individual authorship. His most explicit thesis gathers Borges’s corpus on the side of this unity. However, he also considers many of the essays and phrases that demonstrate Borges’s equally prevalent drive toward self-contradiction and dissemination. While I would take issue with his literal reading of “The Library of Babel,” on which he relies to posit an idea of literature as perfect and eternal, he nonetheless posits on the side of the human being an “imperfection” that turns literature into an infinite task of </w:t>
      </w:r>
      <w:proofErr w:type="spellStart"/>
      <w:r w:rsidRPr="00AB7FEE">
        <w:rPr>
          <w:rFonts w:ascii="Times New Roman" w:hAnsi="Times New Roman" w:cs="Times New Roman"/>
        </w:rPr>
        <w:t>inadequation</w:t>
      </w:r>
      <w:proofErr w:type="spellEnd"/>
      <w:r w:rsidRPr="00AB7FEE">
        <w:rPr>
          <w:rFonts w:ascii="Times New Roman" w:hAnsi="Times New Roman" w:cs="Times New Roman"/>
        </w:rPr>
        <w:t>. In the end, it is impossible to say whether he has produced the most or least faithful reading of Borges, which may be the surest sign that one has remained true to Borges’s auto-infidelity.</w:t>
      </w:r>
    </w:p>
  </w:footnote>
  <w:footnote w:id="10">
    <w:p w14:paraId="2CE9F80A" w14:textId="77777777" w:rsidR="00164CAA" w:rsidRPr="00243FB6" w:rsidRDefault="00164CAA">
      <w:pPr>
        <w:pStyle w:val="FootnoteText"/>
        <w:rPr>
          <w:rFonts w:ascii="Times New Roman" w:hAnsi="Times New Roman" w:cs="Times New Roman"/>
        </w:rPr>
      </w:pPr>
      <w:r w:rsidRPr="00243FB6">
        <w:rPr>
          <w:rStyle w:val="FootnoteReference"/>
          <w:rFonts w:ascii="Times New Roman" w:hAnsi="Times New Roman" w:cs="Times New Roman"/>
        </w:rPr>
        <w:footnoteRef/>
      </w:r>
      <w:r w:rsidRPr="00243FB6">
        <w:rPr>
          <w:rFonts w:ascii="Times New Roman" w:hAnsi="Times New Roman" w:cs="Times New Roman"/>
        </w:rPr>
        <w:t xml:space="preserve"> On the relationship of Menard’s practice to translation, see Sergio </w:t>
      </w:r>
      <w:proofErr w:type="spellStart"/>
      <w:r w:rsidRPr="00243FB6">
        <w:rPr>
          <w:rFonts w:ascii="Times New Roman" w:hAnsi="Times New Roman" w:cs="Times New Roman"/>
        </w:rPr>
        <w:t>Waisman’s</w:t>
      </w:r>
      <w:proofErr w:type="spellEnd"/>
      <w:r w:rsidRPr="00243FB6">
        <w:rPr>
          <w:rFonts w:ascii="Times New Roman" w:hAnsi="Times New Roman" w:cs="Times New Roman"/>
        </w:rPr>
        <w:t xml:space="preserve"> </w:t>
      </w:r>
      <w:r w:rsidRPr="00243FB6">
        <w:rPr>
          <w:rFonts w:ascii="Times New Roman" w:hAnsi="Times New Roman" w:cs="Times New Roman"/>
          <w:i/>
        </w:rPr>
        <w:t>Borges and Translation</w:t>
      </w:r>
      <w:r w:rsidRPr="00243FB6">
        <w:rPr>
          <w:rFonts w:ascii="Times New Roman" w:hAnsi="Times New Roman" w:cs="Times New Roman"/>
        </w:rPr>
        <w:t>, pp. 93-109.</w:t>
      </w:r>
    </w:p>
  </w:footnote>
  <w:footnote w:id="11">
    <w:p w14:paraId="26DD6F73" w14:textId="77777777" w:rsidR="00164CAA" w:rsidRPr="00243FB6" w:rsidRDefault="00164CAA">
      <w:pPr>
        <w:pStyle w:val="FootnoteText"/>
        <w:rPr>
          <w:rFonts w:ascii="Times New Roman" w:hAnsi="Times New Roman" w:cs="Times New Roman"/>
        </w:rPr>
      </w:pPr>
      <w:r w:rsidRPr="00243FB6">
        <w:rPr>
          <w:rStyle w:val="FootnoteReference"/>
          <w:rFonts w:ascii="Times New Roman" w:hAnsi="Times New Roman" w:cs="Times New Roman"/>
        </w:rPr>
        <w:footnoteRef/>
      </w:r>
      <w:r w:rsidRPr="00243FB6">
        <w:rPr>
          <w:rFonts w:ascii="Times New Roman" w:hAnsi="Times New Roman" w:cs="Times New Roman"/>
        </w:rPr>
        <w:t xml:space="preserve"> See, for example, </w:t>
      </w:r>
      <w:r>
        <w:rPr>
          <w:rFonts w:ascii="Times New Roman" w:hAnsi="Times New Roman" w:cs="Times New Roman"/>
        </w:rPr>
        <w:t xml:space="preserve">M. </w:t>
      </w:r>
      <w:proofErr w:type="spellStart"/>
      <w:r>
        <w:rPr>
          <w:rFonts w:ascii="Times New Roman" w:hAnsi="Times New Roman" w:cs="Times New Roman"/>
        </w:rPr>
        <w:t>Ayelen</w:t>
      </w:r>
      <w:proofErr w:type="spellEnd"/>
      <w:r>
        <w:rPr>
          <w:rFonts w:ascii="Times New Roman" w:hAnsi="Times New Roman" w:cs="Times New Roman"/>
        </w:rPr>
        <w:t xml:space="preserve"> Sanchez,</w:t>
      </w:r>
      <w:r w:rsidRPr="00243FB6">
        <w:rPr>
          <w:rFonts w:ascii="Times New Roman" w:hAnsi="Times New Roman" w:cs="Times New Roman"/>
        </w:rPr>
        <w:t xml:space="preserve"> </w:t>
      </w:r>
      <w:proofErr w:type="spellStart"/>
      <w:r w:rsidRPr="00243FB6">
        <w:rPr>
          <w:rFonts w:ascii="Times New Roman" w:hAnsi="Times New Roman" w:cs="Times New Roman"/>
          <w:i/>
        </w:rPr>
        <w:t>Fantasía</w:t>
      </w:r>
      <w:proofErr w:type="spellEnd"/>
      <w:r w:rsidRPr="00243FB6">
        <w:rPr>
          <w:rFonts w:ascii="Times New Roman" w:hAnsi="Times New Roman" w:cs="Times New Roman"/>
          <w:i/>
        </w:rPr>
        <w:t xml:space="preserve"> e </w:t>
      </w:r>
      <w:proofErr w:type="spellStart"/>
      <w:r w:rsidRPr="00243FB6">
        <w:rPr>
          <w:rFonts w:ascii="Times New Roman" w:hAnsi="Times New Roman" w:cs="Times New Roman"/>
          <w:i/>
        </w:rPr>
        <w:t>ironía</w:t>
      </w:r>
      <w:proofErr w:type="spellEnd"/>
      <w:r w:rsidRPr="00243FB6">
        <w:rPr>
          <w:rFonts w:ascii="Times New Roman" w:hAnsi="Times New Roman" w:cs="Times New Roman"/>
        </w:rPr>
        <w:t>, pp. 27-40.</w:t>
      </w:r>
    </w:p>
  </w:footnote>
  <w:footnote w:id="12">
    <w:p w14:paraId="18096420" w14:textId="77777777" w:rsidR="00890204" w:rsidRPr="003A3928" w:rsidRDefault="00890204" w:rsidP="00890204">
      <w:pPr>
        <w:pStyle w:val="FootnoteText"/>
        <w:rPr>
          <w:rFonts w:ascii="Times New Roman" w:hAnsi="Times New Roman" w:cs="Times New Roman"/>
        </w:rPr>
      </w:pPr>
      <w:r w:rsidRPr="003A3928">
        <w:rPr>
          <w:rStyle w:val="FootnoteReference"/>
          <w:rFonts w:ascii="Times New Roman" w:hAnsi="Times New Roman" w:cs="Times New Roman"/>
        </w:rPr>
        <w:footnoteRef/>
      </w:r>
      <w:r w:rsidRPr="003A3928">
        <w:rPr>
          <w:rFonts w:ascii="Times New Roman" w:hAnsi="Times New Roman" w:cs="Times New Roman"/>
        </w:rPr>
        <w:t xml:space="preserve"> Most commentary refers to this as Menard’s “invisible work,” though the phrase never appears in the story. The narrator refers to Menard’s published writings as his “</w:t>
      </w:r>
      <w:r w:rsidRPr="003A3928">
        <w:rPr>
          <w:rFonts w:ascii="Times New Roman" w:hAnsi="Times New Roman" w:cs="Times New Roman"/>
          <w:i/>
        </w:rPr>
        <w:t>visible</w:t>
      </w:r>
      <w:r w:rsidRPr="003A3928">
        <w:rPr>
          <w:rFonts w:ascii="Times New Roman" w:hAnsi="Times New Roman" w:cs="Times New Roman"/>
        </w:rPr>
        <w:t xml:space="preserve"> work,” but refers to his efforts with the </w:t>
      </w:r>
      <w:r w:rsidRPr="003A3928">
        <w:rPr>
          <w:rFonts w:ascii="Times New Roman" w:hAnsi="Times New Roman" w:cs="Times New Roman"/>
          <w:i/>
        </w:rPr>
        <w:t>Quixote</w:t>
      </w:r>
      <w:r w:rsidRPr="003A3928">
        <w:rPr>
          <w:rFonts w:ascii="Times New Roman" w:hAnsi="Times New Roman" w:cs="Times New Roman"/>
        </w:rPr>
        <w:t xml:space="preserve"> as “</w:t>
      </w:r>
      <w:r w:rsidRPr="003A3928">
        <w:rPr>
          <w:rFonts w:ascii="Times New Roman" w:hAnsi="Times New Roman" w:cs="Times New Roman"/>
          <w:i/>
        </w:rPr>
        <w:t xml:space="preserve">la </w:t>
      </w:r>
      <w:proofErr w:type="spellStart"/>
      <w:r w:rsidRPr="003A3928">
        <w:rPr>
          <w:rFonts w:ascii="Times New Roman" w:hAnsi="Times New Roman" w:cs="Times New Roman"/>
          <w:i/>
        </w:rPr>
        <w:t>otra</w:t>
      </w:r>
      <w:proofErr w:type="spellEnd"/>
      <w:r w:rsidRPr="003A3928">
        <w:rPr>
          <w:rFonts w:ascii="Times New Roman" w:hAnsi="Times New Roman" w:cs="Times New Roman"/>
          <w:i/>
        </w:rPr>
        <w:t xml:space="preserve">: la </w:t>
      </w:r>
      <w:proofErr w:type="spellStart"/>
      <w:r w:rsidRPr="003A3928">
        <w:rPr>
          <w:rFonts w:ascii="Times New Roman" w:hAnsi="Times New Roman" w:cs="Times New Roman"/>
          <w:i/>
        </w:rPr>
        <w:t>subterránea</w:t>
      </w:r>
      <w:proofErr w:type="spellEnd"/>
      <w:r w:rsidRPr="003A3928">
        <w:rPr>
          <w:rFonts w:ascii="Times New Roman" w:hAnsi="Times New Roman" w:cs="Times New Roman"/>
          <w:i/>
        </w:rPr>
        <w:t xml:space="preserve">, la </w:t>
      </w:r>
      <w:proofErr w:type="spellStart"/>
      <w:r w:rsidRPr="003A3928">
        <w:rPr>
          <w:rFonts w:ascii="Times New Roman" w:hAnsi="Times New Roman" w:cs="Times New Roman"/>
          <w:i/>
        </w:rPr>
        <w:t>interminablemente</w:t>
      </w:r>
      <w:proofErr w:type="spellEnd"/>
      <w:r w:rsidRPr="003A3928">
        <w:rPr>
          <w:rFonts w:ascii="Times New Roman" w:hAnsi="Times New Roman" w:cs="Times New Roman"/>
          <w:i/>
        </w:rPr>
        <w:t xml:space="preserve"> </w:t>
      </w:r>
      <w:proofErr w:type="spellStart"/>
      <w:r w:rsidRPr="003A3928">
        <w:rPr>
          <w:rFonts w:ascii="Times New Roman" w:hAnsi="Times New Roman" w:cs="Times New Roman"/>
          <w:i/>
        </w:rPr>
        <w:t>heroica</w:t>
      </w:r>
      <w:proofErr w:type="spellEnd"/>
      <w:r w:rsidRPr="003A3928">
        <w:rPr>
          <w:rFonts w:ascii="Times New Roman" w:hAnsi="Times New Roman" w:cs="Times New Roman"/>
          <w:i/>
        </w:rPr>
        <w:t xml:space="preserve">, la impar. </w:t>
      </w:r>
      <w:proofErr w:type="spellStart"/>
      <w:r w:rsidRPr="003A3928">
        <w:rPr>
          <w:rFonts w:ascii="Times New Roman" w:hAnsi="Times New Roman" w:cs="Times New Roman"/>
          <w:i/>
        </w:rPr>
        <w:t>También</w:t>
      </w:r>
      <w:proofErr w:type="spellEnd"/>
      <w:r w:rsidRPr="003A3928">
        <w:rPr>
          <w:rFonts w:ascii="Times New Roman" w:hAnsi="Times New Roman" w:cs="Times New Roman"/>
          <w:i/>
        </w:rPr>
        <w:t xml:space="preserve">, ¡ay de las </w:t>
      </w:r>
      <w:proofErr w:type="spellStart"/>
      <w:r w:rsidRPr="003A3928">
        <w:rPr>
          <w:rFonts w:ascii="Times New Roman" w:hAnsi="Times New Roman" w:cs="Times New Roman"/>
          <w:i/>
        </w:rPr>
        <w:t>posibilidades</w:t>
      </w:r>
      <w:proofErr w:type="spellEnd"/>
      <w:r w:rsidRPr="003A3928">
        <w:rPr>
          <w:rFonts w:ascii="Times New Roman" w:hAnsi="Times New Roman" w:cs="Times New Roman"/>
          <w:i/>
        </w:rPr>
        <w:t xml:space="preserve"> del </w:t>
      </w:r>
      <w:proofErr w:type="gramStart"/>
      <w:r w:rsidRPr="003A3928">
        <w:rPr>
          <w:rFonts w:ascii="Times New Roman" w:hAnsi="Times New Roman" w:cs="Times New Roman"/>
          <w:i/>
        </w:rPr>
        <w:t>hombre!,</w:t>
      </w:r>
      <w:proofErr w:type="gramEnd"/>
      <w:r w:rsidRPr="003A3928">
        <w:rPr>
          <w:rFonts w:ascii="Times New Roman" w:hAnsi="Times New Roman" w:cs="Times New Roman"/>
          <w:i/>
        </w:rPr>
        <w:t xml:space="preserve"> la </w:t>
      </w:r>
      <w:proofErr w:type="spellStart"/>
      <w:r w:rsidRPr="003A3928">
        <w:rPr>
          <w:rFonts w:ascii="Times New Roman" w:hAnsi="Times New Roman" w:cs="Times New Roman"/>
          <w:i/>
        </w:rPr>
        <w:t>inconclusa</w:t>
      </w:r>
      <w:proofErr w:type="spellEnd"/>
      <w:r w:rsidRPr="003A3928">
        <w:rPr>
          <w:rFonts w:ascii="Times New Roman" w:hAnsi="Times New Roman" w:cs="Times New Roman"/>
        </w:rPr>
        <w:t xml:space="preserve">” (45). In Hurley’s translation, “the other, the subterranean, the interminably heroic production—the </w:t>
      </w:r>
      <w:r w:rsidRPr="003A3928">
        <w:rPr>
          <w:rFonts w:ascii="Times New Roman" w:hAnsi="Times New Roman" w:cs="Times New Roman"/>
          <w:i/>
        </w:rPr>
        <w:t>oeuvre nonpareil</w:t>
      </w:r>
      <w:r w:rsidRPr="003A3928">
        <w:rPr>
          <w:rFonts w:ascii="Times New Roman" w:hAnsi="Times New Roman" w:cs="Times New Roman"/>
        </w:rPr>
        <w:t xml:space="preserve">, the </w:t>
      </w:r>
      <w:r w:rsidRPr="003A3928">
        <w:rPr>
          <w:rFonts w:ascii="Times New Roman" w:hAnsi="Times New Roman" w:cs="Times New Roman"/>
          <w:i/>
        </w:rPr>
        <w:t xml:space="preserve">oeuvre </w:t>
      </w:r>
      <w:r w:rsidRPr="003A3928">
        <w:rPr>
          <w:rFonts w:ascii="Times New Roman" w:hAnsi="Times New Roman" w:cs="Times New Roman"/>
        </w:rPr>
        <w:t xml:space="preserve">that must remain—for such are our human </w:t>
      </w:r>
      <w:proofErr w:type="gramStart"/>
      <w:r w:rsidRPr="003A3928">
        <w:rPr>
          <w:rFonts w:ascii="Times New Roman" w:hAnsi="Times New Roman" w:cs="Times New Roman"/>
        </w:rPr>
        <w:t>limitations!—</w:t>
      </w:r>
      <w:proofErr w:type="gramEnd"/>
      <w:r w:rsidRPr="003A3928">
        <w:rPr>
          <w:rFonts w:ascii="Times New Roman" w:hAnsi="Times New Roman" w:cs="Times New Roman"/>
        </w:rPr>
        <w:t xml:space="preserve">unfinished” (90). (Curiously, Hurley’s imposition of the word “production” puts a stop to the “interminability” suggested by the original, and his translation of </w:t>
      </w:r>
      <w:proofErr w:type="spellStart"/>
      <w:r w:rsidRPr="003A3928">
        <w:rPr>
          <w:rFonts w:ascii="Times New Roman" w:hAnsi="Times New Roman" w:cs="Times New Roman"/>
          <w:i/>
        </w:rPr>
        <w:t>posibilidades</w:t>
      </w:r>
      <w:proofErr w:type="spellEnd"/>
      <w:r w:rsidRPr="003A3928">
        <w:rPr>
          <w:rFonts w:ascii="Times New Roman" w:hAnsi="Times New Roman" w:cs="Times New Roman"/>
        </w:rPr>
        <w:t xml:space="preserve"> (possibilities) as “limitations” similarly converts an openness on the future into a restriction.) </w:t>
      </w:r>
    </w:p>
  </w:footnote>
  <w:footnote w:id="13">
    <w:p w14:paraId="3B52CED5" w14:textId="77777777" w:rsidR="00483557" w:rsidRPr="00D5718A" w:rsidRDefault="00483557">
      <w:pPr>
        <w:pStyle w:val="FootnoteText"/>
        <w:rPr>
          <w:rFonts w:ascii="Times New Roman" w:hAnsi="Times New Roman" w:cs="Times New Roman"/>
        </w:rPr>
      </w:pPr>
      <w:r w:rsidRPr="00D5718A">
        <w:rPr>
          <w:rStyle w:val="FootnoteReference"/>
          <w:rFonts w:ascii="Times New Roman" w:hAnsi="Times New Roman" w:cs="Times New Roman"/>
        </w:rPr>
        <w:footnoteRef/>
      </w:r>
      <w:r w:rsidRPr="00D5718A">
        <w:rPr>
          <w:rFonts w:ascii="Times New Roman" w:hAnsi="Times New Roman" w:cs="Times New Roman"/>
        </w:rPr>
        <w:t xml:space="preserve"> </w:t>
      </w:r>
      <w:proofErr w:type="spellStart"/>
      <w:r w:rsidR="00D5718A">
        <w:rPr>
          <w:rFonts w:ascii="Times New Roman" w:hAnsi="Times New Roman" w:cs="Times New Roman"/>
        </w:rPr>
        <w:t>Jauss</w:t>
      </w:r>
      <w:proofErr w:type="spellEnd"/>
      <w:r w:rsidR="00D5718A">
        <w:rPr>
          <w:rFonts w:ascii="Times New Roman" w:hAnsi="Times New Roman" w:cs="Times New Roman"/>
        </w:rPr>
        <w:t xml:space="preserve"> exemplifies a misreading of “Pierre Menard” </w:t>
      </w:r>
      <w:r w:rsidR="009371BE">
        <w:rPr>
          <w:rFonts w:ascii="Times New Roman" w:hAnsi="Times New Roman" w:cs="Times New Roman"/>
        </w:rPr>
        <w:t xml:space="preserve">of which </w:t>
      </w:r>
      <w:proofErr w:type="spellStart"/>
      <w:r w:rsidR="009371BE">
        <w:rPr>
          <w:rFonts w:ascii="Times New Roman" w:hAnsi="Times New Roman" w:cs="Times New Roman"/>
        </w:rPr>
        <w:t>Efraín</w:t>
      </w:r>
      <w:proofErr w:type="spellEnd"/>
      <w:r w:rsidR="009371BE">
        <w:rPr>
          <w:rFonts w:ascii="Times New Roman" w:hAnsi="Times New Roman" w:cs="Times New Roman"/>
        </w:rPr>
        <w:t xml:space="preserve"> Kristal (in his UCLA Lecture) was rightly critical. Kristal points to the many readers of the story who take the narrator’s opinion of Menard’s </w:t>
      </w:r>
      <w:r w:rsidR="009371BE">
        <w:rPr>
          <w:rFonts w:ascii="Times New Roman" w:hAnsi="Times New Roman" w:cs="Times New Roman"/>
          <w:i/>
        </w:rPr>
        <w:t xml:space="preserve">Quixote, </w:t>
      </w:r>
      <w:r w:rsidR="009371BE">
        <w:rPr>
          <w:rFonts w:ascii="Times New Roman" w:hAnsi="Times New Roman" w:cs="Times New Roman"/>
        </w:rPr>
        <w:t xml:space="preserve">that it is richer than the original, as Borges’s own opinion. As opposed to seeing this difference-from-self in the original (or the absence of any original), this reading has the effect of stabilizing the context of reception: </w:t>
      </w:r>
      <w:r w:rsidR="00AC6AD7" w:rsidRPr="00D5718A">
        <w:rPr>
          <w:rFonts w:ascii="Times New Roman" w:hAnsi="Times New Roman" w:cs="Times New Roman"/>
        </w:rPr>
        <w:t xml:space="preserve">“The identical text has become incomparably richer and more complex after 300 years […] for Borges, this statement [“truth, whose mother is history…”] had taken on the proportions of a stupendous idea by </w:t>
      </w:r>
      <w:proofErr w:type="spellStart"/>
      <w:r w:rsidR="00AC6AD7" w:rsidRPr="00D5718A">
        <w:rPr>
          <w:rFonts w:ascii="Times New Roman" w:hAnsi="Times New Roman" w:cs="Times New Roman"/>
        </w:rPr>
        <w:t>Ménard’s</w:t>
      </w:r>
      <w:proofErr w:type="spellEnd"/>
      <w:r w:rsidR="00AC6AD7" w:rsidRPr="00D5718A">
        <w:rPr>
          <w:rFonts w:ascii="Times New Roman" w:hAnsi="Times New Roman" w:cs="Times New Roman"/>
        </w:rPr>
        <w:t xml:space="preserve"> [</w:t>
      </w:r>
      <w:r w:rsidR="00AC6AD7" w:rsidRPr="00D5718A">
        <w:rPr>
          <w:rFonts w:ascii="Times New Roman" w:hAnsi="Times New Roman" w:cs="Times New Roman"/>
          <w:i/>
        </w:rPr>
        <w:t>sic</w:t>
      </w:r>
      <w:r w:rsidR="00AC6AD7" w:rsidRPr="00D5718A">
        <w:rPr>
          <w:rFonts w:ascii="Times New Roman" w:hAnsi="Times New Roman" w:cs="Times New Roman"/>
        </w:rPr>
        <w:t>]</w:t>
      </w:r>
      <w:r w:rsidR="00AC6AD7" w:rsidRPr="00D5718A">
        <w:rPr>
          <w:rFonts w:ascii="Times New Roman" w:hAnsi="Times New Roman" w:cs="Times New Roman"/>
          <w:i/>
        </w:rPr>
        <w:t xml:space="preserve"> </w:t>
      </w:r>
      <w:r w:rsidR="00AC6AD7" w:rsidRPr="00D5718A">
        <w:rPr>
          <w:rFonts w:ascii="Times New Roman" w:hAnsi="Times New Roman" w:cs="Times New Roman"/>
        </w:rPr>
        <w:t>time”</w:t>
      </w:r>
      <w:r w:rsidR="00EE626D" w:rsidRPr="00D5718A">
        <w:rPr>
          <w:rFonts w:ascii="Times New Roman" w:hAnsi="Times New Roman" w:cs="Times New Roman"/>
        </w:rPr>
        <w:t xml:space="preserve"> (67).</w:t>
      </w:r>
    </w:p>
  </w:footnote>
  <w:footnote w:id="14">
    <w:p w14:paraId="72D5857C" w14:textId="77777777" w:rsidR="00164CAA" w:rsidRPr="00F85860" w:rsidRDefault="00164CAA">
      <w:pPr>
        <w:pStyle w:val="FootnoteText"/>
      </w:pPr>
      <w:r w:rsidRPr="003A3928">
        <w:rPr>
          <w:rStyle w:val="FootnoteReference"/>
          <w:rFonts w:ascii="Times New Roman" w:hAnsi="Times New Roman" w:cs="Times New Roman"/>
        </w:rPr>
        <w:footnoteRef/>
      </w:r>
      <w:r w:rsidRPr="003A3928">
        <w:rPr>
          <w:rFonts w:ascii="Times New Roman" w:hAnsi="Times New Roman" w:cs="Times New Roman"/>
        </w:rPr>
        <w:t xml:space="preserve"> </w:t>
      </w:r>
      <w:proofErr w:type="spellStart"/>
      <w:r w:rsidRPr="003A3928">
        <w:rPr>
          <w:rFonts w:ascii="Times New Roman" w:hAnsi="Times New Roman" w:cs="Times New Roman"/>
        </w:rPr>
        <w:t>Dapía</w:t>
      </w:r>
      <w:proofErr w:type="spellEnd"/>
      <w:r w:rsidRPr="003A3928">
        <w:rPr>
          <w:rFonts w:ascii="Times New Roman" w:hAnsi="Times New Roman" w:cs="Times New Roman"/>
        </w:rPr>
        <w:t xml:space="preserve"> suggests that Menard pushes us beyond </w:t>
      </w:r>
      <w:proofErr w:type="spellStart"/>
      <w:r w:rsidRPr="003A3928">
        <w:rPr>
          <w:rFonts w:ascii="Times New Roman" w:hAnsi="Times New Roman" w:cs="Times New Roman"/>
        </w:rPr>
        <w:t>Jauss’s</w:t>
      </w:r>
      <w:proofErr w:type="spellEnd"/>
      <w:r w:rsidRPr="003A3928">
        <w:rPr>
          <w:rFonts w:ascii="Times New Roman" w:hAnsi="Times New Roman" w:cs="Times New Roman"/>
        </w:rPr>
        <w:t xml:space="preserve"> framework, which tends toward the fusion of author’s and reader’s horizons, toward the possibility of an infinite number of attributions and frameworks. However, she still insists on the values of context and reader, “Borges himself acknowledges the importance of the frame of reference within which the reader is positioned when interpreting a literary work […] For his part, Menard does not seem to find any convincing reason for choosing to pursue the author’s intention instead of taking into account the reader’s intention” (103).</w:t>
      </w:r>
    </w:p>
  </w:footnote>
  <w:footnote w:id="15">
    <w:p w14:paraId="046EEA86" w14:textId="77777777" w:rsidR="00164CAA" w:rsidRDefault="00164CAA">
      <w:pPr>
        <w:pStyle w:val="FootnoteText"/>
      </w:pPr>
      <w:r>
        <w:rPr>
          <w:rStyle w:val="FootnoteReference"/>
        </w:rPr>
        <w:footnoteRef/>
      </w:r>
      <w:r>
        <w:t xml:space="preserve"> </w:t>
      </w:r>
      <w:r>
        <w:rPr>
          <w:rFonts w:ascii="Times New Roman" w:hAnsi="Times New Roman" w:cs="Times New Roman"/>
          <w:color w:val="000000"/>
        </w:rPr>
        <w:t>We should also recall, from “Kafka and his Precursors,” that future texts will form part of any present or past context.</w:t>
      </w:r>
    </w:p>
  </w:footnote>
  <w:footnote w:id="16">
    <w:p w14:paraId="2E27CF8D" w14:textId="77777777" w:rsidR="00146D61" w:rsidRPr="0081594D" w:rsidRDefault="00146D61">
      <w:pPr>
        <w:pStyle w:val="FootnoteText"/>
        <w:rPr>
          <w:rFonts w:ascii="Times New Roman" w:hAnsi="Times New Roman" w:cs="Times New Roman"/>
        </w:rPr>
      </w:pPr>
      <w:r w:rsidRPr="0081594D">
        <w:rPr>
          <w:rStyle w:val="FootnoteReference"/>
          <w:rFonts w:ascii="Times New Roman" w:hAnsi="Times New Roman" w:cs="Times New Roman"/>
        </w:rPr>
        <w:footnoteRef/>
      </w:r>
      <w:r w:rsidRPr="0081594D">
        <w:rPr>
          <w:rFonts w:ascii="Times New Roman" w:hAnsi="Times New Roman" w:cs="Times New Roman"/>
        </w:rPr>
        <w:t xml:space="preserve"> </w:t>
      </w:r>
      <w:r w:rsidR="0081594D" w:rsidRPr="0081594D">
        <w:rPr>
          <w:rFonts w:ascii="Times New Roman" w:hAnsi="Times New Roman" w:cs="Times New Roman"/>
        </w:rPr>
        <w:t>There are statements in Borges’s essays that seem, on the other hand, more amenable to the reader-response perspective.</w:t>
      </w:r>
      <w:r w:rsidR="0081594D">
        <w:rPr>
          <w:rFonts w:ascii="Times New Roman" w:hAnsi="Times New Roman" w:cs="Times New Roman"/>
        </w:rPr>
        <w:t xml:space="preserve"> For example, in “For Bernard Shaw,” Borges offers as the reason for the differing-from-self (“inexhaustibility”) of the individual text its infinite dialogue with the reader. “One literature differs from another, either before or after it, not so much because of the text as for the manner in which it is read. If I were able to read any contemporary page—this one for example—as it would be read in the year 2000, I would know what literature</w:t>
      </w:r>
      <w:r w:rsidR="00757B7B">
        <w:rPr>
          <w:rFonts w:ascii="Times New Roman" w:hAnsi="Times New Roman" w:cs="Times New Roman"/>
        </w:rPr>
        <w:t xml:space="preserve"> would be like in the year 2000” (</w:t>
      </w:r>
      <w:r w:rsidR="00C14938">
        <w:rPr>
          <w:rFonts w:ascii="Times New Roman" w:hAnsi="Times New Roman" w:cs="Times New Roman"/>
        </w:rPr>
        <w:t xml:space="preserve">164). </w:t>
      </w:r>
      <w:r w:rsidR="00D56255">
        <w:rPr>
          <w:rFonts w:ascii="Times New Roman" w:hAnsi="Times New Roman" w:cs="Times New Roman"/>
        </w:rPr>
        <w:t>As is always the case though, Borges emphasizes or stabilizes a certain position or assertion when its destabilizing potential is greatest, only to destabilize it elsewhere when necessary. Apart from texts like “Coleridge’s Flower” and “Kafka a</w:t>
      </w:r>
      <w:r w:rsidR="005B2C09">
        <w:rPr>
          <w:rFonts w:ascii="Times New Roman" w:hAnsi="Times New Roman" w:cs="Times New Roman"/>
        </w:rPr>
        <w:t>n</w:t>
      </w:r>
      <w:r w:rsidR="00D56255">
        <w:rPr>
          <w:rFonts w:ascii="Times New Roman" w:hAnsi="Times New Roman" w:cs="Times New Roman"/>
        </w:rPr>
        <w:t xml:space="preserve">d his Precursors” that destabilize the individual author </w:t>
      </w:r>
      <w:r w:rsidR="005B2C09">
        <w:rPr>
          <w:rFonts w:ascii="Times New Roman" w:hAnsi="Times New Roman" w:cs="Times New Roman"/>
        </w:rPr>
        <w:t>by stabilizing other authorial positions</w:t>
      </w:r>
      <w:r w:rsidR="00D56255">
        <w:rPr>
          <w:rFonts w:ascii="Times New Roman" w:hAnsi="Times New Roman" w:cs="Times New Roman"/>
        </w:rPr>
        <w:t xml:space="preserve">, one can turn to Borges’s fiction, as we </w:t>
      </w:r>
      <w:r w:rsidR="004E078D">
        <w:rPr>
          <w:rFonts w:ascii="Times New Roman" w:hAnsi="Times New Roman" w:cs="Times New Roman"/>
        </w:rPr>
        <w:t xml:space="preserve">do </w:t>
      </w:r>
      <w:r w:rsidR="00D56255">
        <w:rPr>
          <w:rFonts w:ascii="Times New Roman" w:hAnsi="Times New Roman" w:cs="Times New Roman"/>
        </w:rPr>
        <w:t>here, to see how the role of reader is destabilized</w:t>
      </w:r>
      <w:r w:rsidR="005B2C09">
        <w:rPr>
          <w:rFonts w:ascii="Times New Roman" w:hAnsi="Times New Roman" w:cs="Times New Roman"/>
        </w:rPr>
        <w:t xml:space="preserve"> there</w:t>
      </w:r>
      <w:r w:rsidR="00D5625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8A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DE7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0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E87A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1E4B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6EF7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F8B4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7AA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76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7E5D8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56"/>
    <w:rsid w:val="00001FC5"/>
    <w:rsid w:val="000138CB"/>
    <w:rsid w:val="00014246"/>
    <w:rsid w:val="000207D4"/>
    <w:rsid w:val="00025C73"/>
    <w:rsid w:val="00031D3D"/>
    <w:rsid w:val="00034692"/>
    <w:rsid w:val="00055058"/>
    <w:rsid w:val="00055644"/>
    <w:rsid w:val="00066177"/>
    <w:rsid w:val="00070A40"/>
    <w:rsid w:val="000712F5"/>
    <w:rsid w:val="000716A8"/>
    <w:rsid w:val="0007445E"/>
    <w:rsid w:val="000744A3"/>
    <w:rsid w:val="000761C3"/>
    <w:rsid w:val="000A62E3"/>
    <w:rsid w:val="000C18BD"/>
    <w:rsid w:val="000C5942"/>
    <w:rsid w:val="000D0504"/>
    <w:rsid w:val="000D0883"/>
    <w:rsid w:val="000D2E17"/>
    <w:rsid w:val="000D3407"/>
    <w:rsid w:val="000E0166"/>
    <w:rsid w:val="000E1844"/>
    <w:rsid w:val="000E4EE5"/>
    <w:rsid w:val="00105CB8"/>
    <w:rsid w:val="00114B93"/>
    <w:rsid w:val="001215F3"/>
    <w:rsid w:val="00122847"/>
    <w:rsid w:val="00132DAE"/>
    <w:rsid w:val="00143A7D"/>
    <w:rsid w:val="00146D61"/>
    <w:rsid w:val="00154479"/>
    <w:rsid w:val="00164CAA"/>
    <w:rsid w:val="00190571"/>
    <w:rsid w:val="00191A8B"/>
    <w:rsid w:val="0019628A"/>
    <w:rsid w:val="001A6639"/>
    <w:rsid w:val="001A7B33"/>
    <w:rsid w:val="001B7DD8"/>
    <w:rsid w:val="001C2727"/>
    <w:rsid w:val="001D416A"/>
    <w:rsid w:val="001E1A07"/>
    <w:rsid w:val="001E2725"/>
    <w:rsid w:val="001E78E3"/>
    <w:rsid w:val="001F2030"/>
    <w:rsid w:val="00214736"/>
    <w:rsid w:val="00215124"/>
    <w:rsid w:val="00234AFB"/>
    <w:rsid w:val="002422FB"/>
    <w:rsid w:val="00243502"/>
    <w:rsid w:val="00243FB6"/>
    <w:rsid w:val="0025104A"/>
    <w:rsid w:val="0026415C"/>
    <w:rsid w:val="00266E4D"/>
    <w:rsid w:val="00281DE5"/>
    <w:rsid w:val="00284116"/>
    <w:rsid w:val="002860D9"/>
    <w:rsid w:val="00290C8D"/>
    <w:rsid w:val="00294143"/>
    <w:rsid w:val="00297C3F"/>
    <w:rsid w:val="002A0014"/>
    <w:rsid w:val="002A0372"/>
    <w:rsid w:val="002A3A24"/>
    <w:rsid w:val="002A4574"/>
    <w:rsid w:val="002A4DC9"/>
    <w:rsid w:val="002A5321"/>
    <w:rsid w:val="002A5B56"/>
    <w:rsid w:val="002A69A6"/>
    <w:rsid w:val="002B0C81"/>
    <w:rsid w:val="002B2A89"/>
    <w:rsid w:val="002B76BD"/>
    <w:rsid w:val="002C5142"/>
    <w:rsid w:val="002D121B"/>
    <w:rsid w:val="002F168F"/>
    <w:rsid w:val="002F1D6A"/>
    <w:rsid w:val="002F26B7"/>
    <w:rsid w:val="002F5934"/>
    <w:rsid w:val="00306C79"/>
    <w:rsid w:val="00313F3D"/>
    <w:rsid w:val="003217D4"/>
    <w:rsid w:val="00326CC4"/>
    <w:rsid w:val="00334131"/>
    <w:rsid w:val="0033563F"/>
    <w:rsid w:val="00335E26"/>
    <w:rsid w:val="00350DC7"/>
    <w:rsid w:val="00356B65"/>
    <w:rsid w:val="0036525E"/>
    <w:rsid w:val="0038298D"/>
    <w:rsid w:val="00382D96"/>
    <w:rsid w:val="00390385"/>
    <w:rsid w:val="003942E4"/>
    <w:rsid w:val="003977E4"/>
    <w:rsid w:val="003A3928"/>
    <w:rsid w:val="003A72C0"/>
    <w:rsid w:val="003C5757"/>
    <w:rsid w:val="003D1D8B"/>
    <w:rsid w:val="003D449F"/>
    <w:rsid w:val="003D716D"/>
    <w:rsid w:val="003E2738"/>
    <w:rsid w:val="003E51CB"/>
    <w:rsid w:val="003F0FC5"/>
    <w:rsid w:val="003F3222"/>
    <w:rsid w:val="004034B6"/>
    <w:rsid w:val="00405609"/>
    <w:rsid w:val="004062FB"/>
    <w:rsid w:val="004577DB"/>
    <w:rsid w:val="004664C5"/>
    <w:rsid w:val="00477F79"/>
    <w:rsid w:val="00483557"/>
    <w:rsid w:val="004865B4"/>
    <w:rsid w:val="00496494"/>
    <w:rsid w:val="00497220"/>
    <w:rsid w:val="004B02B0"/>
    <w:rsid w:val="004B2C98"/>
    <w:rsid w:val="004B4EB1"/>
    <w:rsid w:val="004C5B4F"/>
    <w:rsid w:val="004C6989"/>
    <w:rsid w:val="004D0C6D"/>
    <w:rsid w:val="004D79FD"/>
    <w:rsid w:val="004E011B"/>
    <w:rsid w:val="004E078D"/>
    <w:rsid w:val="004E14F3"/>
    <w:rsid w:val="004E6A24"/>
    <w:rsid w:val="004E7712"/>
    <w:rsid w:val="004F217D"/>
    <w:rsid w:val="004F228E"/>
    <w:rsid w:val="00501F03"/>
    <w:rsid w:val="00504ECB"/>
    <w:rsid w:val="00511B1F"/>
    <w:rsid w:val="00522B39"/>
    <w:rsid w:val="00533E12"/>
    <w:rsid w:val="00545C56"/>
    <w:rsid w:val="005471D9"/>
    <w:rsid w:val="00547E65"/>
    <w:rsid w:val="0055114C"/>
    <w:rsid w:val="0056105D"/>
    <w:rsid w:val="00565DA7"/>
    <w:rsid w:val="005732C4"/>
    <w:rsid w:val="005771B3"/>
    <w:rsid w:val="00580B3B"/>
    <w:rsid w:val="00590A92"/>
    <w:rsid w:val="005A1C62"/>
    <w:rsid w:val="005A1CB1"/>
    <w:rsid w:val="005B2C09"/>
    <w:rsid w:val="005B2E2E"/>
    <w:rsid w:val="005C0D30"/>
    <w:rsid w:val="005C5DBC"/>
    <w:rsid w:val="005C6DDB"/>
    <w:rsid w:val="005D09A7"/>
    <w:rsid w:val="005E31B9"/>
    <w:rsid w:val="005E6A93"/>
    <w:rsid w:val="005F08A5"/>
    <w:rsid w:val="005F417B"/>
    <w:rsid w:val="005F7D8F"/>
    <w:rsid w:val="0060504A"/>
    <w:rsid w:val="006233EE"/>
    <w:rsid w:val="00625ED0"/>
    <w:rsid w:val="006318F0"/>
    <w:rsid w:val="0064175C"/>
    <w:rsid w:val="0066640C"/>
    <w:rsid w:val="00666D1E"/>
    <w:rsid w:val="006670CB"/>
    <w:rsid w:val="00670F1C"/>
    <w:rsid w:val="0067370C"/>
    <w:rsid w:val="00677BD1"/>
    <w:rsid w:val="0068290E"/>
    <w:rsid w:val="0069263C"/>
    <w:rsid w:val="006B40D2"/>
    <w:rsid w:val="006B6137"/>
    <w:rsid w:val="006C2702"/>
    <w:rsid w:val="006C4739"/>
    <w:rsid w:val="006D1BD8"/>
    <w:rsid w:val="006D5C62"/>
    <w:rsid w:val="006E6BD9"/>
    <w:rsid w:val="00712707"/>
    <w:rsid w:val="007223A1"/>
    <w:rsid w:val="00732B27"/>
    <w:rsid w:val="00750A4C"/>
    <w:rsid w:val="00754EC7"/>
    <w:rsid w:val="00755C8B"/>
    <w:rsid w:val="00757B7B"/>
    <w:rsid w:val="00762CA4"/>
    <w:rsid w:val="00771E13"/>
    <w:rsid w:val="0078202B"/>
    <w:rsid w:val="00785244"/>
    <w:rsid w:val="007970C1"/>
    <w:rsid w:val="007A7324"/>
    <w:rsid w:val="007A7C14"/>
    <w:rsid w:val="007B0D06"/>
    <w:rsid w:val="007B1CA6"/>
    <w:rsid w:val="007D5908"/>
    <w:rsid w:val="007D69B2"/>
    <w:rsid w:val="007E5FC2"/>
    <w:rsid w:val="00807647"/>
    <w:rsid w:val="00811641"/>
    <w:rsid w:val="00812097"/>
    <w:rsid w:val="0081594D"/>
    <w:rsid w:val="00815CA5"/>
    <w:rsid w:val="00832A9D"/>
    <w:rsid w:val="0084547E"/>
    <w:rsid w:val="00850016"/>
    <w:rsid w:val="008510B9"/>
    <w:rsid w:val="0086352F"/>
    <w:rsid w:val="0088440C"/>
    <w:rsid w:val="00890204"/>
    <w:rsid w:val="00890889"/>
    <w:rsid w:val="008929D3"/>
    <w:rsid w:val="008B0C92"/>
    <w:rsid w:val="008B38B5"/>
    <w:rsid w:val="008C3205"/>
    <w:rsid w:val="008C55A7"/>
    <w:rsid w:val="008D1234"/>
    <w:rsid w:val="008D4211"/>
    <w:rsid w:val="008D7712"/>
    <w:rsid w:val="008F7B13"/>
    <w:rsid w:val="00905077"/>
    <w:rsid w:val="00934CA9"/>
    <w:rsid w:val="00935261"/>
    <w:rsid w:val="0093675D"/>
    <w:rsid w:val="009371BE"/>
    <w:rsid w:val="00952DFC"/>
    <w:rsid w:val="0095439E"/>
    <w:rsid w:val="00965E06"/>
    <w:rsid w:val="00973087"/>
    <w:rsid w:val="00973F85"/>
    <w:rsid w:val="00974E10"/>
    <w:rsid w:val="0097702C"/>
    <w:rsid w:val="00983DDB"/>
    <w:rsid w:val="00984771"/>
    <w:rsid w:val="00987EB1"/>
    <w:rsid w:val="009B512B"/>
    <w:rsid w:val="009B7A8D"/>
    <w:rsid w:val="009C5D50"/>
    <w:rsid w:val="009D3C4E"/>
    <w:rsid w:val="009D78E1"/>
    <w:rsid w:val="009F329B"/>
    <w:rsid w:val="009F504C"/>
    <w:rsid w:val="00A1091A"/>
    <w:rsid w:val="00A27024"/>
    <w:rsid w:val="00A40116"/>
    <w:rsid w:val="00A423E1"/>
    <w:rsid w:val="00A44CE6"/>
    <w:rsid w:val="00A525F0"/>
    <w:rsid w:val="00A57D43"/>
    <w:rsid w:val="00A61859"/>
    <w:rsid w:val="00A63927"/>
    <w:rsid w:val="00A73117"/>
    <w:rsid w:val="00A841FD"/>
    <w:rsid w:val="00AB7FEE"/>
    <w:rsid w:val="00AC165D"/>
    <w:rsid w:val="00AC3DC3"/>
    <w:rsid w:val="00AC6AD7"/>
    <w:rsid w:val="00AE1F17"/>
    <w:rsid w:val="00AF628C"/>
    <w:rsid w:val="00B13683"/>
    <w:rsid w:val="00B16B6F"/>
    <w:rsid w:val="00B26A8D"/>
    <w:rsid w:val="00B3568B"/>
    <w:rsid w:val="00B3612F"/>
    <w:rsid w:val="00B42A53"/>
    <w:rsid w:val="00B77EE1"/>
    <w:rsid w:val="00B808C3"/>
    <w:rsid w:val="00B826D1"/>
    <w:rsid w:val="00B90004"/>
    <w:rsid w:val="00BB010B"/>
    <w:rsid w:val="00BB38C3"/>
    <w:rsid w:val="00BB421A"/>
    <w:rsid w:val="00BB6EB9"/>
    <w:rsid w:val="00BC2F10"/>
    <w:rsid w:val="00BC49DD"/>
    <w:rsid w:val="00BC6A47"/>
    <w:rsid w:val="00BE2B8C"/>
    <w:rsid w:val="00BF2454"/>
    <w:rsid w:val="00BF6CE8"/>
    <w:rsid w:val="00C03723"/>
    <w:rsid w:val="00C0565E"/>
    <w:rsid w:val="00C14938"/>
    <w:rsid w:val="00C163EC"/>
    <w:rsid w:val="00C24488"/>
    <w:rsid w:val="00C25676"/>
    <w:rsid w:val="00C26431"/>
    <w:rsid w:val="00C56A25"/>
    <w:rsid w:val="00C61CF6"/>
    <w:rsid w:val="00C62E5A"/>
    <w:rsid w:val="00C77FDE"/>
    <w:rsid w:val="00C8048D"/>
    <w:rsid w:val="00C84A17"/>
    <w:rsid w:val="00C913D1"/>
    <w:rsid w:val="00C9168C"/>
    <w:rsid w:val="00CA160F"/>
    <w:rsid w:val="00CA5210"/>
    <w:rsid w:val="00CA696E"/>
    <w:rsid w:val="00CD7B39"/>
    <w:rsid w:val="00CE0214"/>
    <w:rsid w:val="00CE3405"/>
    <w:rsid w:val="00CF64B4"/>
    <w:rsid w:val="00CF7A22"/>
    <w:rsid w:val="00D06EB5"/>
    <w:rsid w:val="00D234E7"/>
    <w:rsid w:val="00D2487B"/>
    <w:rsid w:val="00D308A9"/>
    <w:rsid w:val="00D36197"/>
    <w:rsid w:val="00D36FF1"/>
    <w:rsid w:val="00D41646"/>
    <w:rsid w:val="00D4653F"/>
    <w:rsid w:val="00D56255"/>
    <w:rsid w:val="00D56583"/>
    <w:rsid w:val="00D5718A"/>
    <w:rsid w:val="00D573C2"/>
    <w:rsid w:val="00D61069"/>
    <w:rsid w:val="00D7656A"/>
    <w:rsid w:val="00D77D28"/>
    <w:rsid w:val="00D97274"/>
    <w:rsid w:val="00DA0538"/>
    <w:rsid w:val="00DB0553"/>
    <w:rsid w:val="00DB290C"/>
    <w:rsid w:val="00DB3B2A"/>
    <w:rsid w:val="00DC67F9"/>
    <w:rsid w:val="00DD32B3"/>
    <w:rsid w:val="00DE03AB"/>
    <w:rsid w:val="00DE56DB"/>
    <w:rsid w:val="00DE7E4B"/>
    <w:rsid w:val="00DF10C8"/>
    <w:rsid w:val="00DF60AF"/>
    <w:rsid w:val="00E02337"/>
    <w:rsid w:val="00E04F10"/>
    <w:rsid w:val="00E073AD"/>
    <w:rsid w:val="00E17373"/>
    <w:rsid w:val="00E212B2"/>
    <w:rsid w:val="00E37221"/>
    <w:rsid w:val="00E42D61"/>
    <w:rsid w:val="00E52EEE"/>
    <w:rsid w:val="00E56C25"/>
    <w:rsid w:val="00E700BE"/>
    <w:rsid w:val="00E76E6D"/>
    <w:rsid w:val="00E82D84"/>
    <w:rsid w:val="00E82DC0"/>
    <w:rsid w:val="00E941E2"/>
    <w:rsid w:val="00EA18A0"/>
    <w:rsid w:val="00EA2809"/>
    <w:rsid w:val="00EB0740"/>
    <w:rsid w:val="00EC1034"/>
    <w:rsid w:val="00EC777D"/>
    <w:rsid w:val="00ED0E94"/>
    <w:rsid w:val="00EE626D"/>
    <w:rsid w:val="00EF201F"/>
    <w:rsid w:val="00EF404D"/>
    <w:rsid w:val="00F02872"/>
    <w:rsid w:val="00F02D0C"/>
    <w:rsid w:val="00F06FCA"/>
    <w:rsid w:val="00F3107A"/>
    <w:rsid w:val="00F31F9F"/>
    <w:rsid w:val="00F32CE8"/>
    <w:rsid w:val="00F51EA1"/>
    <w:rsid w:val="00F55276"/>
    <w:rsid w:val="00F55EC9"/>
    <w:rsid w:val="00F708F9"/>
    <w:rsid w:val="00F73855"/>
    <w:rsid w:val="00F739AF"/>
    <w:rsid w:val="00F7696F"/>
    <w:rsid w:val="00F81BFB"/>
    <w:rsid w:val="00F822A0"/>
    <w:rsid w:val="00F8276F"/>
    <w:rsid w:val="00F85860"/>
    <w:rsid w:val="00FA1A02"/>
    <w:rsid w:val="00FA3032"/>
    <w:rsid w:val="00FB2EEE"/>
    <w:rsid w:val="00FB3A00"/>
    <w:rsid w:val="00FB3D63"/>
    <w:rsid w:val="00FD01F9"/>
    <w:rsid w:val="00FD36FB"/>
    <w:rsid w:val="00FD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2BD3"/>
  <w14:defaultImageDpi w14:val="32767"/>
  <w15:chartTrackingRefBased/>
  <w15:docId w15:val="{C898A3D4-118F-8A4E-8A8E-7961F7D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56B65"/>
    <w:rPr>
      <w:sz w:val="22"/>
      <w:szCs w:val="20"/>
    </w:rPr>
  </w:style>
  <w:style w:type="character" w:customStyle="1" w:styleId="FootnoteTextChar">
    <w:name w:val="Footnote Text Char"/>
    <w:basedOn w:val="DefaultParagraphFont"/>
    <w:link w:val="FootnoteText"/>
    <w:rsid w:val="00356B65"/>
    <w:rPr>
      <w:sz w:val="22"/>
      <w:szCs w:val="20"/>
    </w:rPr>
  </w:style>
  <w:style w:type="character" w:styleId="FootnoteReference">
    <w:name w:val="footnote reference"/>
    <w:basedOn w:val="DefaultParagraphFont"/>
    <w:unhideWhenUsed/>
    <w:rsid w:val="00356B65"/>
    <w:rPr>
      <w:vertAlign w:val="superscript"/>
    </w:rPr>
  </w:style>
  <w:style w:type="paragraph" w:styleId="Bibliography">
    <w:name w:val="Bibliography"/>
    <w:basedOn w:val="Normal"/>
    <w:next w:val="Normal"/>
    <w:uiPriority w:val="37"/>
    <w:unhideWhenUsed/>
    <w:rsid w:val="008C3205"/>
    <w:pPr>
      <w:ind w:left="720" w:hanging="720"/>
    </w:pPr>
  </w:style>
  <w:style w:type="paragraph" w:styleId="ListParagraph">
    <w:name w:val="List Paragraph"/>
    <w:basedOn w:val="Normal"/>
    <w:uiPriority w:val="34"/>
    <w:qFormat/>
    <w:rsid w:val="00ED0E94"/>
    <w:pPr>
      <w:ind w:left="720"/>
      <w:contextualSpacing/>
    </w:pPr>
  </w:style>
  <w:style w:type="paragraph" w:customStyle="1" w:styleId="Footnote">
    <w:name w:val="Footnote"/>
    <w:rsid w:val="002A5B56"/>
    <w:rPr>
      <w:rFonts w:ascii="Helvetica" w:eastAsia="Helvetica" w:hAnsi="Helvetica" w:cs="Helvetica"/>
      <w:color w:val="000000"/>
      <w:sz w:val="22"/>
      <w:szCs w:val="22"/>
      <w:u w:color="000000"/>
    </w:rPr>
  </w:style>
  <w:style w:type="character" w:customStyle="1" w:styleId="None">
    <w:name w:val="None"/>
    <w:rsid w:val="002A5B56"/>
  </w:style>
  <w:style w:type="character" w:styleId="Emphasis">
    <w:name w:val="Emphasis"/>
    <w:basedOn w:val="DefaultParagraphFont"/>
    <w:uiPriority w:val="20"/>
    <w:qFormat/>
    <w:rsid w:val="00A27024"/>
    <w:rPr>
      <w:i/>
      <w:iCs/>
    </w:rPr>
  </w:style>
  <w:style w:type="character" w:styleId="Strong">
    <w:name w:val="Strong"/>
    <w:basedOn w:val="DefaultParagraphFont"/>
    <w:uiPriority w:val="22"/>
    <w:qFormat/>
    <w:rsid w:val="00A27024"/>
    <w:rPr>
      <w:b/>
      <w:bCs/>
    </w:rPr>
  </w:style>
  <w:style w:type="character" w:styleId="CommentReference">
    <w:name w:val="annotation reference"/>
    <w:basedOn w:val="DefaultParagraphFont"/>
    <w:uiPriority w:val="99"/>
    <w:semiHidden/>
    <w:unhideWhenUsed/>
    <w:rsid w:val="000712F5"/>
    <w:rPr>
      <w:sz w:val="16"/>
      <w:szCs w:val="16"/>
    </w:rPr>
  </w:style>
  <w:style w:type="paragraph" w:styleId="CommentText">
    <w:name w:val="annotation text"/>
    <w:basedOn w:val="Normal"/>
    <w:link w:val="CommentTextChar"/>
    <w:uiPriority w:val="99"/>
    <w:semiHidden/>
    <w:unhideWhenUsed/>
    <w:rsid w:val="000712F5"/>
    <w:rPr>
      <w:sz w:val="20"/>
      <w:szCs w:val="20"/>
    </w:rPr>
  </w:style>
  <w:style w:type="character" w:customStyle="1" w:styleId="CommentTextChar">
    <w:name w:val="Comment Text Char"/>
    <w:basedOn w:val="DefaultParagraphFont"/>
    <w:link w:val="CommentText"/>
    <w:uiPriority w:val="99"/>
    <w:semiHidden/>
    <w:rsid w:val="000712F5"/>
    <w:rPr>
      <w:sz w:val="20"/>
      <w:szCs w:val="20"/>
    </w:rPr>
  </w:style>
  <w:style w:type="paragraph" w:styleId="CommentSubject">
    <w:name w:val="annotation subject"/>
    <w:basedOn w:val="CommentText"/>
    <w:next w:val="CommentText"/>
    <w:link w:val="CommentSubjectChar"/>
    <w:uiPriority w:val="99"/>
    <w:semiHidden/>
    <w:unhideWhenUsed/>
    <w:rsid w:val="000712F5"/>
    <w:rPr>
      <w:b/>
      <w:bCs/>
    </w:rPr>
  </w:style>
  <w:style w:type="character" w:customStyle="1" w:styleId="CommentSubjectChar">
    <w:name w:val="Comment Subject Char"/>
    <w:basedOn w:val="CommentTextChar"/>
    <w:link w:val="CommentSubject"/>
    <w:uiPriority w:val="99"/>
    <w:semiHidden/>
    <w:rsid w:val="000712F5"/>
    <w:rPr>
      <w:b/>
      <w:bCs/>
      <w:sz w:val="20"/>
      <w:szCs w:val="20"/>
    </w:rPr>
  </w:style>
  <w:style w:type="paragraph" w:styleId="BalloonText">
    <w:name w:val="Balloon Text"/>
    <w:basedOn w:val="Normal"/>
    <w:link w:val="BalloonTextChar"/>
    <w:uiPriority w:val="99"/>
    <w:semiHidden/>
    <w:unhideWhenUsed/>
    <w:rsid w:val="00071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2F5"/>
    <w:rPr>
      <w:rFonts w:ascii="Times New Roman" w:hAnsi="Times New Roman" w:cs="Times New Roman"/>
      <w:sz w:val="18"/>
      <w:szCs w:val="18"/>
    </w:rPr>
  </w:style>
  <w:style w:type="paragraph" w:styleId="Footer">
    <w:name w:val="footer"/>
    <w:basedOn w:val="Normal"/>
    <w:link w:val="FooterChar"/>
    <w:uiPriority w:val="99"/>
    <w:unhideWhenUsed/>
    <w:rsid w:val="003A72C0"/>
    <w:pPr>
      <w:tabs>
        <w:tab w:val="center" w:pos="4680"/>
        <w:tab w:val="right" w:pos="9360"/>
      </w:tabs>
    </w:pPr>
  </w:style>
  <w:style w:type="character" w:customStyle="1" w:styleId="FooterChar">
    <w:name w:val="Footer Char"/>
    <w:basedOn w:val="DefaultParagraphFont"/>
    <w:link w:val="Footer"/>
    <w:uiPriority w:val="99"/>
    <w:rsid w:val="003A72C0"/>
  </w:style>
  <w:style w:type="character" w:styleId="PageNumber">
    <w:name w:val="page number"/>
    <w:basedOn w:val="DefaultParagraphFont"/>
    <w:uiPriority w:val="99"/>
    <w:semiHidden/>
    <w:unhideWhenUsed/>
    <w:rsid w:val="003A72C0"/>
  </w:style>
  <w:style w:type="character" w:styleId="Hyperlink">
    <w:name w:val="Hyperlink"/>
    <w:basedOn w:val="DefaultParagraphFont"/>
    <w:uiPriority w:val="99"/>
    <w:unhideWhenUsed/>
    <w:rsid w:val="00F55276"/>
    <w:rPr>
      <w:color w:val="0563C1" w:themeColor="hyperlink"/>
      <w:u w:val="single"/>
    </w:rPr>
  </w:style>
  <w:style w:type="character" w:styleId="UnresolvedMention">
    <w:name w:val="Unresolved Mention"/>
    <w:basedOn w:val="DefaultParagraphFont"/>
    <w:uiPriority w:val="99"/>
    <w:rsid w:val="00F55276"/>
    <w:rPr>
      <w:color w:val="605E5C"/>
      <w:shd w:val="clear" w:color="auto" w:fill="E1DFDD"/>
    </w:rPr>
  </w:style>
  <w:style w:type="character" w:styleId="FollowedHyperlink">
    <w:name w:val="FollowedHyperlink"/>
    <w:basedOn w:val="DefaultParagraphFont"/>
    <w:uiPriority w:val="99"/>
    <w:semiHidden/>
    <w:unhideWhenUsed/>
    <w:rsid w:val="002A5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265">
      <w:bodyDiv w:val="1"/>
      <w:marLeft w:val="0"/>
      <w:marRight w:val="0"/>
      <w:marTop w:val="0"/>
      <w:marBottom w:val="0"/>
      <w:divBdr>
        <w:top w:val="none" w:sz="0" w:space="0" w:color="auto"/>
        <w:left w:val="none" w:sz="0" w:space="0" w:color="auto"/>
        <w:bottom w:val="none" w:sz="0" w:space="0" w:color="auto"/>
        <w:right w:val="none" w:sz="0" w:space="0" w:color="auto"/>
      </w:divBdr>
    </w:div>
    <w:div w:id="116066571">
      <w:bodyDiv w:val="1"/>
      <w:marLeft w:val="0"/>
      <w:marRight w:val="0"/>
      <w:marTop w:val="0"/>
      <w:marBottom w:val="0"/>
      <w:divBdr>
        <w:top w:val="none" w:sz="0" w:space="0" w:color="auto"/>
        <w:left w:val="none" w:sz="0" w:space="0" w:color="auto"/>
        <w:bottom w:val="none" w:sz="0" w:space="0" w:color="auto"/>
        <w:right w:val="none" w:sz="0" w:space="0" w:color="auto"/>
      </w:divBdr>
    </w:div>
    <w:div w:id="241573721">
      <w:bodyDiv w:val="1"/>
      <w:marLeft w:val="0"/>
      <w:marRight w:val="0"/>
      <w:marTop w:val="0"/>
      <w:marBottom w:val="0"/>
      <w:divBdr>
        <w:top w:val="none" w:sz="0" w:space="0" w:color="auto"/>
        <w:left w:val="none" w:sz="0" w:space="0" w:color="auto"/>
        <w:bottom w:val="none" w:sz="0" w:space="0" w:color="auto"/>
        <w:right w:val="none" w:sz="0" w:space="0" w:color="auto"/>
      </w:divBdr>
    </w:div>
    <w:div w:id="476724869">
      <w:bodyDiv w:val="1"/>
      <w:marLeft w:val="0"/>
      <w:marRight w:val="0"/>
      <w:marTop w:val="0"/>
      <w:marBottom w:val="0"/>
      <w:divBdr>
        <w:top w:val="none" w:sz="0" w:space="0" w:color="auto"/>
        <w:left w:val="none" w:sz="0" w:space="0" w:color="auto"/>
        <w:bottom w:val="none" w:sz="0" w:space="0" w:color="auto"/>
        <w:right w:val="none" w:sz="0" w:space="0" w:color="auto"/>
      </w:divBdr>
    </w:div>
    <w:div w:id="497305665">
      <w:bodyDiv w:val="1"/>
      <w:marLeft w:val="0"/>
      <w:marRight w:val="0"/>
      <w:marTop w:val="0"/>
      <w:marBottom w:val="0"/>
      <w:divBdr>
        <w:top w:val="none" w:sz="0" w:space="0" w:color="auto"/>
        <w:left w:val="none" w:sz="0" w:space="0" w:color="auto"/>
        <w:bottom w:val="none" w:sz="0" w:space="0" w:color="auto"/>
        <w:right w:val="none" w:sz="0" w:space="0" w:color="auto"/>
      </w:divBdr>
    </w:div>
    <w:div w:id="674457328">
      <w:bodyDiv w:val="1"/>
      <w:marLeft w:val="0"/>
      <w:marRight w:val="0"/>
      <w:marTop w:val="0"/>
      <w:marBottom w:val="0"/>
      <w:divBdr>
        <w:top w:val="none" w:sz="0" w:space="0" w:color="auto"/>
        <w:left w:val="none" w:sz="0" w:space="0" w:color="auto"/>
        <w:bottom w:val="none" w:sz="0" w:space="0" w:color="auto"/>
        <w:right w:val="none" w:sz="0" w:space="0" w:color="auto"/>
      </w:divBdr>
    </w:div>
    <w:div w:id="1557819246">
      <w:bodyDiv w:val="1"/>
      <w:marLeft w:val="0"/>
      <w:marRight w:val="0"/>
      <w:marTop w:val="0"/>
      <w:marBottom w:val="0"/>
      <w:divBdr>
        <w:top w:val="none" w:sz="0" w:space="0" w:color="auto"/>
        <w:left w:val="none" w:sz="0" w:space="0" w:color="auto"/>
        <w:bottom w:val="none" w:sz="0" w:space="0" w:color="auto"/>
        <w:right w:val="none" w:sz="0" w:space="0" w:color="auto"/>
      </w:divBdr>
    </w:div>
    <w:div w:id="1596356153">
      <w:bodyDiv w:val="1"/>
      <w:marLeft w:val="0"/>
      <w:marRight w:val="0"/>
      <w:marTop w:val="0"/>
      <w:marBottom w:val="0"/>
      <w:divBdr>
        <w:top w:val="none" w:sz="0" w:space="0" w:color="auto"/>
        <w:left w:val="none" w:sz="0" w:space="0" w:color="auto"/>
        <w:bottom w:val="none" w:sz="0" w:space="0" w:color="auto"/>
        <w:right w:val="none" w:sz="0" w:space="0" w:color="auto"/>
      </w:divBdr>
    </w:div>
    <w:div w:id="20874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rges.pitt.edu/product/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22</Pages>
  <Words>6529</Words>
  <Characters>37218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Jonathan Edward</dc:creator>
  <cp:keywords/>
  <dc:description/>
  <cp:lastModifiedBy>Basile, Jonathan</cp:lastModifiedBy>
  <cp:revision>237</cp:revision>
  <dcterms:created xsi:type="dcterms:W3CDTF">2018-06-09T16:21:00Z</dcterms:created>
  <dcterms:modified xsi:type="dcterms:W3CDTF">2019-06-29T16:00:00Z</dcterms:modified>
</cp:coreProperties>
</file>